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2D7B5B" w14:textId="77777777" w:rsidR="00CA7C8B" w:rsidRDefault="00721EF5" w:rsidP="00097ADB">
      <w:pPr>
        <w:pStyle w:val="Heading1"/>
        <w:spacing w:line="240" w:lineRule="auto"/>
        <w:ind w:left="-576" w:right="-720"/>
        <w:jc w:val="center"/>
        <w:rPr>
          <w:lang w:val="fr-FR"/>
        </w:rPr>
      </w:pPr>
      <w:r w:rsidRPr="00721EF5">
        <w:rPr>
          <w:lang w:val="fr-FR"/>
        </w:rPr>
        <w:t>Réinsertion, besoins et implication des g</w:t>
      </w:r>
      <w:r>
        <w:rPr>
          <w:lang w:val="fr-FR"/>
        </w:rPr>
        <w:t>uéris dans la Réponse Ebola et au-delà : note de synthèse de l’étude menée par la CASS.</w:t>
      </w:r>
    </w:p>
    <w:p w14:paraId="37E22F45" w14:textId="77777777" w:rsidR="00721EF5" w:rsidRDefault="00721EF5" w:rsidP="00097ADB">
      <w:pPr>
        <w:spacing w:line="240" w:lineRule="auto"/>
        <w:ind w:left="-576" w:right="-720"/>
        <w:jc w:val="both"/>
        <w:rPr>
          <w:lang w:val="fr-FR"/>
        </w:rPr>
      </w:pPr>
    </w:p>
    <w:p w14:paraId="7B3C4267" w14:textId="0D88E751" w:rsidR="00721EF5" w:rsidRPr="00251175" w:rsidRDefault="00721EF5" w:rsidP="00097ADB">
      <w:pPr>
        <w:spacing w:line="240" w:lineRule="auto"/>
        <w:ind w:left="-576" w:right="-720"/>
        <w:jc w:val="both"/>
        <w:rPr>
          <w:i/>
          <w:sz w:val="20"/>
          <w:lang w:val="fr-FR"/>
        </w:rPr>
      </w:pPr>
      <w:r w:rsidRPr="00251175">
        <w:rPr>
          <w:i/>
          <w:sz w:val="20"/>
          <w:lang w:val="fr-FR"/>
        </w:rPr>
        <w:t>En octobre 2019, à la demande de la Commission de prise en charge psychosociale</w:t>
      </w:r>
      <w:r w:rsidRPr="00251175">
        <w:rPr>
          <w:rStyle w:val="FootnoteReference"/>
          <w:i/>
          <w:sz w:val="20"/>
          <w:lang w:val="fr-FR"/>
        </w:rPr>
        <w:footnoteReference w:id="1"/>
      </w:r>
      <w:r w:rsidRPr="00251175">
        <w:rPr>
          <w:i/>
          <w:sz w:val="20"/>
          <w:lang w:val="fr-FR"/>
        </w:rPr>
        <w:t>, la Cellule d’analyse en sciences sociales (CASS) a lancé une nouvelle étude qualitative à Béni sur les perceptions des personnes guéries</w:t>
      </w:r>
      <w:r w:rsidRPr="00251175">
        <w:rPr>
          <w:rStyle w:val="FootnoteReference"/>
          <w:i/>
          <w:sz w:val="20"/>
          <w:lang w:val="fr-FR"/>
        </w:rPr>
        <w:footnoteReference w:id="2"/>
      </w:r>
      <w:r w:rsidRPr="00251175">
        <w:rPr>
          <w:i/>
          <w:sz w:val="20"/>
          <w:lang w:val="fr-FR"/>
        </w:rPr>
        <w:t xml:space="preserve"> de la maladie à virus Ebola (MVE). Les résultats de cette étude ont été présentées à partir de décembre 2019 dans les différentes sous-coordinations et des recommandations ont été codéveloppées, suivant le processus de la CAS</w:t>
      </w:r>
      <w:r w:rsidR="00483A3E">
        <w:rPr>
          <w:i/>
          <w:sz w:val="20"/>
          <w:lang w:val="fr-FR"/>
        </w:rPr>
        <w:t>S</w:t>
      </w:r>
      <w:r w:rsidRPr="00251175">
        <w:rPr>
          <w:i/>
          <w:sz w:val="20"/>
          <w:lang w:val="fr-FR"/>
        </w:rPr>
        <w:t xml:space="preserve">. </w:t>
      </w:r>
    </w:p>
    <w:p w14:paraId="51CC6F8A" w14:textId="77777777" w:rsidR="00987EFA" w:rsidRDefault="00987EFA" w:rsidP="00097ADB">
      <w:pPr>
        <w:pStyle w:val="Heading2"/>
        <w:spacing w:line="240" w:lineRule="auto"/>
        <w:ind w:left="-576" w:right="-720"/>
        <w:jc w:val="both"/>
        <w:rPr>
          <w:lang w:val="fr-FR"/>
        </w:rPr>
      </w:pPr>
      <w:r>
        <w:rPr>
          <w:lang w:val="fr-FR"/>
        </w:rPr>
        <w:t xml:space="preserve">Objectif de l’étude </w:t>
      </w:r>
    </w:p>
    <w:p w14:paraId="2ADFE05E" w14:textId="77777777" w:rsidR="00987EFA" w:rsidRPr="00251175" w:rsidRDefault="00987EFA" w:rsidP="00097ADB">
      <w:pPr>
        <w:spacing w:line="240" w:lineRule="auto"/>
        <w:ind w:left="-576" w:right="-720"/>
        <w:jc w:val="both"/>
        <w:rPr>
          <w:sz w:val="20"/>
          <w:lang w:val="fr-FR"/>
        </w:rPr>
      </w:pPr>
      <w:r w:rsidRPr="00251175">
        <w:rPr>
          <w:sz w:val="20"/>
          <w:lang w:val="fr-FR"/>
        </w:rPr>
        <w:t xml:space="preserve">L’étude sur les guéris a été menée dans le but d’améliorer la compréhension des perceptions des guéris d’eux-mêmes, de la MVE, de leur situation et de leurs besoins ; mais aussi </w:t>
      </w:r>
      <w:r w:rsidR="00251175" w:rsidRPr="00251175">
        <w:rPr>
          <w:sz w:val="20"/>
          <w:lang w:val="fr-FR"/>
        </w:rPr>
        <w:t xml:space="preserve">de </w:t>
      </w:r>
      <w:r w:rsidRPr="00251175">
        <w:rPr>
          <w:sz w:val="20"/>
          <w:lang w:val="fr-FR"/>
        </w:rPr>
        <w:t xml:space="preserve">tirer les leçons des différentes interventions mises en place dans le cadre de la Réponse </w:t>
      </w:r>
      <w:r w:rsidR="00FC6EC7">
        <w:rPr>
          <w:sz w:val="20"/>
          <w:lang w:val="fr-FR"/>
        </w:rPr>
        <w:t xml:space="preserve">Ebola </w:t>
      </w:r>
      <w:r w:rsidRPr="00251175">
        <w:rPr>
          <w:sz w:val="20"/>
          <w:lang w:val="fr-FR"/>
        </w:rPr>
        <w:t xml:space="preserve">en leur faveur. </w:t>
      </w:r>
    </w:p>
    <w:p w14:paraId="69AF4AD1" w14:textId="0F1B2B27" w:rsidR="00251175" w:rsidRDefault="00251175" w:rsidP="00097ADB">
      <w:pPr>
        <w:pStyle w:val="Heading2"/>
        <w:spacing w:line="240" w:lineRule="auto"/>
        <w:ind w:left="-576" w:right="-720"/>
        <w:jc w:val="both"/>
        <w:rPr>
          <w:lang w:val="fr-FR"/>
        </w:rPr>
      </w:pPr>
      <w:r>
        <w:rPr>
          <w:lang w:val="fr-FR"/>
        </w:rPr>
        <w:t xml:space="preserve">Méthodologie </w:t>
      </w:r>
    </w:p>
    <w:p w14:paraId="04D61782" w14:textId="77777777" w:rsidR="00251175" w:rsidRPr="00251175" w:rsidRDefault="00251175" w:rsidP="00097ADB">
      <w:pPr>
        <w:spacing w:line="240" w:lineRule="auto"/>
        <w:ind w:left="-576" w:right="-720"/>
        <w:jc w:val="both"/>
        <w:rPr>
          <w:sz w:val="20"/>
          <w:lang w:val="fr-FR"/>
        </w:rPr>
      </w:pPr>
      <w:r w:rsidRPr="00251175">
        <w:rPr>
          <w:sz w:val="20"/>
          <w:lang w:val="fr-FR"/>
        </w:rPr>
        <w:t xml:space="preserve">L’étude a été menée auprès de personnes guéries de la MVE et de déchargés non-cas. </w:t>
      </w:r>
      <w:r w:rsidR="00C136B5">
        <w:rPr>
          <w:sz w:val="20"/>
          <w:lang w:val="fr-FR"/>
        </w:rPr>
        <w:t xml:space="preserve">14 </w:t>
      </w:r>
      <w:r w:rsidRPr="00251175">
        <w:rPr>
          <w:sz w:val="20"/>
          <w:lang w:val="fr-FR"/>
        </w:rPr>
        <w:t xml:space="preserve">entretiens clefs ont été menés avec des guéris impliqués dans les activités de la Réponse (berceuses, garde-malades) et quatre groupes de discussion réunissant 32 guéris non-impliqués dans la Réponse. De plus, 13 entretiens ont été conduits avec des déchargés non-cas et des personnes en charge du suivi des guéris. </w:t>
      </w:r>
    </w:p>
    <w:p w14:paraId="24509911" w14:textId="28B65F23" w:rsidR="00251175" w:rsidRPr="00251175" w:rsidRDefault="00251175" w:rsidP="00097ADB">
      <w:pPr>
        <w:spacing w:line="240" w:lineRule="auto"/>
        <w:ind w:left="-576" w:right="-720"/>
        <w:jc w:val="both"/>
        <w:rPr>
          <w:sz w:val="20"/>
          <w:lang w:val="fr-FR"/>
        </w:rPr>
      </w:pPr>
      <w:r w:rsidRPr="00251175">
        <w:rPr>
          <w:sz w:val="20"/>
          <w:lang w:val="fr-FR"/>
        </w:rPr>
        <w:t xml:space="preserve">L’échantillon a été choisi par sélection raisonnée ; la taille </w:t>
      </w:r>
      <w:r w:rsidR="00C136B5">
        <w:rPr>
          <w:sz w:val="20"/>
          <w:lang w:val="fr-FR"/>
        </w:rPr>
        <w:t xml:space="preserve">de l’échantillon </w:t>
      </w:r>
      <w:r w:rsidRPr="00251175">
        <w:rPr>
          <w:sz w:val="20"/>
          <w:lang w:val="fr-FR"/>
        </w:rPr>
        <w:t>a été conçue pour atteindre la saturation.</w:t>
      </w:r>
      <w:r w:rsidR="002F30AE">
        <w:rPr>
          <w:sz w:val="20"/>
          <w:lang w:val="fr-FR"/>
        </w:rPr>
        <w:t xml:space="preserve"> L’analyse est effectuée selon la méthode de la Théorie ancrée (ou Grounded theory), avec le logiciel Atlas-T</w:t>
      </w:r>
      <w:bookmarkStart w:id="0" w:name="_GoBack"/>
      <w:bookmarkEnd w:id="0"/>
      <w:r w:rsidR="002F30AE">
        <w:rPr>
          <w:sz w:val="20"/>
          <w:lang w:val="fr-FR"/>
        </w:rPr>
        <w:t xml:space="preserve">i. </w:t>
      </w:r>
    </w:p>
    <w:p w14:paraId="430CD58D" w14:textId="77777777" w:rsidR="00251175" w:rsidRDefault="00251175" w:rsidP="00097ADB">
      <w:pPr>
        <w:pStyle w:val="Heading2"/>
        <w:spacing w:line="240" w:lineRule="auto"/>
        <w:ind w:left="-576" w:right="-720"/>
        <w:rPr>
          <w:lang w:val="fr-FR"/>
        </w:rPr>
      </w:pPr>
      <w:r>
        <w:rPr>
          <w:lang w:val="fr-FR"/>
        </w:rPr>
        <w:t>Résultats clefs de l’étude</w:t>
      </w:r>
    </w:p>
    <w:p w14:paraId="5E695AC9" w14:textId="77777777" w:rsidR="00251175" w:rsidRDefault="00251175" w:rsidP="00097ADB">
      <w:pPr>
        <w:spacing w:line="240" w:lineRule="auto"/>
        <w:ind w:left="-576" w:right="-720"/>
        <w:rPr>
          <w:sz w:val="20"/>
          <w:lang w:val="fr-FR"/>
        </w:rPr>
      </w:pPr>
      <w:r w:rsidRPr="00251175">
        <w:rPr>
          <w:sz w:val="20"/>
          <w:lang w:val="fr-FR"/>
        </w:rPr>
        <w:t>Quatre thèmes principaux ont été identifiés au cours de l’analyse des données</w:t>
      </w:r>
      <w:r>
        <w:rPr>
          <w:sz w:val="20"/>
          <w:lang w:val="fr-FR"/>
        </w:rPr>
        <w:t xml:space="preserve"> : </w:t>
      </w:r>
    </w:p>
    <w:p w14:paraId="0ACCC5B0" w14:textId="77777777" w:rsidR="00251175" w:rsidRPr="002C5C6B" w:rsidRDefault="002C5C6B" w:rsidP="00097ADB">
      <w:pPr>
        <w:pStyle w:val="ListParagraph"/>
        <w:numPr>
          <w:ilvl w:val="0"/>
          <w:numId w:val="1"/>
        </w:numPr>
        <w:spacing w:line="240" w:lineRule="auto"/>
        <w:ind w:left="504" w:right="-720"/>
        <w:rPr>
          <w:sz w:val="20"/>
          <w:lang w:val="fr-FR"/>
        </w:rPr>
      </w:pPr>
      <w:r>
        <w:rPr>
          <w:sz w:val="20"/>
          <w:lang w:val="fr-FR"/>
        </w:rPr>
        <w:t>L</w:t>
      </w:r>
      <w:r w:rsidR="00251175" w:rsidRPr="002C5C6B">
        <w:rPr>
          <w:sz w:val="20"/>
          <w:lang w:val="fr-FR"/>
        </w:rPr>
        <w:t>es perceptions de la MVE et du CTE</w:t>
      </w:r>
    </w:p>
    <w:p w14:paraId="6CC89D4B" w14:textId="77777777" w:rsidR="00251175" w:rsidRPr="002C5C6B" w:rsidRDefault="002C5C6B" w:rsidP="00097ADB">
      <w:pPr>
        <w:pStyle w:val="ListParagraph"/>
        <w:numPr>
          <w:ilvl w:val="0"/>
          <w:numId w:val="1"/>
        </w:numPr>
        <w:spacing w:line="240" w:lineRule="auto"/>
        <w:ind w:left="504" w:right="-720"/>
        <w:rPr>
          <w:sz w:val="20"/>
          <w:lang w:val="fr-FR"/>
        </w:rPr>
      </w:pPr>
      <w:r>
        <w:rPr>
          <w:sz w:val="20"/>
          <w:lang w:val="fr-FR"/>
        </w:rPr>
        <w:t>L</w:t>
      </w:r>
      <w:r w:rsidR="00251175" w:rsidRPr="002C5C6B">
        <w:rPr>
          <w:sz w:val="20"/>
          <w:lang w:val="fr-FR"/>
        </w:rPr>
        <w:t xml:space="preserve">’impact de la MVE sur le bien-être </w:t>
      </w:r>
    </w:p>
    <w:p w14:paraId="67473477" w14:textId="77777777" w:rsidR="00251175" w:rsidRPr="002C5C6B" w:rsidRDefault="002C5C6B" w:rsidP="00097ADB">
      <w:pPr>
        <w:pStyle w:val="ListParagraph"/>
        <w:numPr>
          <w:ilvl w:val="0"/>
          <w:numId w:val="1"/>
        </w:numPr>
        <w:spacing w:line="240" w:lineRule="auto"/>
        <w:ind w:left="504" w:right="-720"/>
        <w:rPr>
          <w:sz w:val="20"/>
          <w:lang w:val="fr-FR"/>
        </w:rPr>
      </w:pPr>
      <w:r>
        <w:rPr>
          <w:sz w:val="20"/>
          <w:lang w:val="fr-FR"/>
        </w:rPr>
        <w:t>L</w:t>
      </w:r>
      <w:r w:rsidR="00251175" w:rsidRPr="002C5C6B">
        <w:rPr>
          <w:sz w:val="20"/>
          <w:lang w:val="fr-FR"/>
        </w:rPr>
        <w:t xml:space="preserve">a stigmatisation </w:t>
      </w:r>
    </w:p>
    <w:p w14:paraId="31B49A90" w14:textId="77777777" w:rsidR="00B567E7" w:rsidRPr="002C5C6B" w:rsidRDefault="002C5C6B" w:rsidP="00097ADB">
      <w:pPr>
        <w:pStyle w:val="ListParagraph"/>
        <w:numPr>
          <w:ilvl w:val="0"/>
          <w:numId w:val="1"/>
        </w:numPr>
        <w:spacing w:line="240" w:lineRule="auto"/>
        <w:ind w:left="504" w:right="-720"/>
        <w:rPr>
          <w:sz w:val="20"/>
          <w:lang w:val="fr-FR"/>
        </w:rPr>
      </w:pPr>
      <w:r>
        <w:rPr>
          <w:sz w:val="20"/>
          <w:lang w:val="fr-FR"/>
        </w:rPr>
        <w:t>L</w:t>
      </w:r>
      <w:r w:rsidR="00251175" w:rsidRPr="002C5C6B">
        <w:rPr>
          <w:sz w:val="20"/>
          <w:lang w:val="fr-FR"/>
        </w:rPr>
        <w:t xml:space="preserve">es besoins </w:t>
      </w:r>
      <w:r w:rsidR="00640482">
        <w:rPr>
          <w:sz w:val="20"/>
          <w:lang w:val="fr-FR"/>
        </w:rPr>
        <w:t xml:space="preserve">et recommandations </w:t>
      </w:r>
      <w:r w:rsidR="00251175" w:rsidRPr="002C5C6B">
        <w:rPr>
          <w:sz w:val="20"/>
          <w:lang w:val="fr-FR"/>
        </w:rPr>
        <w:t>des guéris.</w:t>
      </w:r>
    </w:p>
    <w:p w14:paraId="789A5E46" w14:textId="12470F9E" w:rsidR="00B567E7" w:rsidRDefault="00251175" w:rsidP="00B410D2">
      <w:pPr>
        <w:spacing w:line="240" w:lineRule="auto"/>
        <w:ind w:left="-576" w:right="-720" w:firstLine="720"/>
        <w:jc w:val="both"/>
        <w:rPr>
          <w:sz w:val="20"/>
          <w:lang w:val="fr-FR"/>
        </w:rPr>
      </w:pPr>
      <w:r>
        <w:rPr>
          <w:sz w:val="20"/>
          <w:lang w:val="fr-FR"/>
        </w:rPr>
        <w:t>D’abord, l’analyse des données met en lumière que</w:t>
      </w:r>
      <w:r w:rsidR="00C136B5">
        <w:rPr>
          <w:sz w:val="20"/>
          <w:lang w:val="fr-FR"/>
        </w:rPr>
        <w:t xml:space="preserve"> le fait que</w:t>
      </w:r>
      <w:r w:rsidR="00B567E7">
        <w:rPr>
          <w:sz w:val="20"/>
          <w:lang w:val="fr-FR"/>
        </w:rPr>
        <w:t xml:space="preserve"> </w:t>
      </w:r>
      <w:r w:rsidR="00B567E7" w:rsidRPr="004638F7">
        <w:rPr>
          <w:b/>
          <w:bCs/>
          <w:sz w:val="20"/>
          <w:lang w:val="fr-FR"/>
        </w:rPr>
        <w:t xml:space="preserve">le passage par le centre de traitement Ebola (CTE) ou centre de transit (CT) a changé la perception </w:t>
      </w:r>
      <w:r w:rsidRPr="004638F7">
        <w:rPr>
          <w:b/>
          <w:bCs/>
          <w:sz w:val="20"/>
          <w:lang w:val="fr-FR"/>
        </w:rPr>
        <w:t>des guéris et des déchargés non-cas</w:t>
      </w:r>
      <w:r w:rsidR="00B567E7">
        <w:rPr>
          <w:sz w:val="20"/>
          <w:lang w:val="fr-FR"/>
        </w:rPr>
        <w:t xml:space="preserve">. Cela les a conduits à avoir </w:t>
      </w:r>
      <w:r w:rsidR="00B567E7" w:rsidRPr="004638F7">
        <w:rPr>
          <w:b/>
          <w:bCs/>
          <w:sz w:val="20"/>
          <w:lang w:val="fr-FR"/>
        </w:rPr>
        <w:t>une vision plus positive du CTE</w:t>
      </w:r>
      <w:r w:rsidR="00B567E7">
        <w:rPr>
          <w:sz w:val="20"/>
          <w:lang w:val="fr-FR"/>
        </w:rPr>
        <w:t>, concernant l’accueil, la prise en charge, la nourriture et a dissipé les doutes quant à l’existence de la maladie. De nombreuses études de la CASS et les feedbacks communautaires ont montré que les rumeurs et croyances à l’égard du CTE rest</w:t>
      </w:r>
      <w:r w:rsidR="00E55934">
        <w:rPr>
          <w:sz w:val="20"/>
          <w:lang w:val="fr-FR"/>
        </w:rPr>
        <w:t>ai</w:t>
      </w:r>
      <w:r w:rsidR="00B567E7">
        <w:rPr>
          <w:sz w:val="20"/>
          <w:lang w:val="fr-FR"/>
        </w:rPr>
        <w:t xml:space="preserve">ent très négatives au sein des communautés, avec la perception que le CTE est « un mouroir » ; or les personnes </w:t>
      </w:r>
      <w:r w:rsidR="00EE3E59">
        <w:rPr>
          <w:sz w:val="20"/>
          <w:lang w:val="fr-FR"/>
        </w:rPr>
        <w:t>ayant</w:t>
      </w:r>
      <w:r w:rsidR="00B567E7">
        <w:rPr>
          <w:sz w:val="20"/>
          <w:lang w:val="fr-FR"/>
        </w:rPr>
        <w:t xml:space="preserve"> réellement fait l’expérience du CTE/CT en ressortent avec une vision positive opposée. </w:t>
      </w:r>
      <w:r w:rsidR="00B567E7" w:rsidRPr="004638F7">
        <w:rPr>
          <w:b/>
          <w:bCs/>
          <w:sz w:val="20"/>
          <w:lang w:val="fr-FR"/>
        </w:rPr>
        <w:t>Concernant la MVE, les perceptions sont celles d’une maladie « incomparable aux autres », par sa gravité</w:t>
      </w:r>
      <w:r w:rsidR="00B567E7">
        <w:rPr>
          <w:sz w:val="20"/>
          <w:lang w:val="fr-FR"/>
        </w:rPr>
        <w:t xml:space="preserve">, sa létalité, sa contagiosité. Les personnes interrogées mentionnent </w:t>
      </w:r>
      <w:r w:rsidR="00B567E7" w:rsidRPr="004638F7">
        <w:rPr>
          <w:b/>
          <w:bCs/>
          <w:sz w:val="20"/>
          <w:lang w:val="fr-FR"/>
        </w:rPr>
        <w:t xml:space="preserve">souvent l’importance d’un dépistage et </w:t>
      </w:r>
      <w:r w:rsidR="00E55934" w:rsidRPr="004638F7">
        <w:rPr>
          <w:b/>
          <w:bCs/>
          <w:sz w:val="20"/>
          <w:lang w:val="fr-FR"/>
        </w:rPr>
        <w:t xml:space="preserve">d’un </w:t>
      </w:r>
      <w:r w:rsidR="00B567E7" w:rsidRPr="004638F7">
        <w:rPr>
          <w:b/>
          <w:bCs/>
          <w:sz w:val="20"/>
          <w:lang w:val="fr-FR"/>
        </w:rPr>
        <w:t>traitement précoce</w:t>
      </w:r>
      <w:r w:rsidR="004638F7">
        <w:rPr>
          <w:b/>
          <w:bCs/>
          <w:sz w:val="20"/>
          <w:lang w:val="fr-FR"/>
        </w:rPr>
        <w:t>s</w:t>
      </w:r>
      <w:r w:rsidR="00B567E7">
        <w:rPr>
          <w:sz w:val="20"/>
          <w:lang w:val="fr-FR"/>
        </w:rPr>
        <w:t xml:space="preserve"> pour augmenter </w:t>
      </w:r>
      <w:r w:rsidR="00E55934">
        <w:rPr>
          <w:sz w:val="20"/>
          <w:lang w:val="fr-FR"/>
        </w:rPr>
        <w:t xml:space="preserve">leurs </w:t>
      </w:r>
      <w:r w:rsidR="00B567E7">
        <w:rPr>
          <w:sz w:val="20"/>
          <w:lang w:val="fr-FR"/>
        </w:rPr>
        <w:t xml:space="preserve">chances de survie. </w:t>
      </w:r>
    </w:p>
    <w:p w14:paraId="551FAD12" w14:textId="77777777" w:rsidR="00B567E7" w:rsidRDefault="00B567E7" w:rsidP="00097ADB">
      <w:pPr>
        <w:spacing w:line="240" w:lineRule="auto"/>
        <w:ind w:left="-576" w:right="-720"/>
        <w:jc w:val="both"/>
        <w:rPr>
          <w:sz w:val="20"/>
          <w:lang w:val="fr-FR"/>
        </w:rPr>
      </w:pPr>
      <w:r>
        <w:rPr>
          <w:sz w:val="20"/>
          <w:lang w:val="fr-FR"/>
        </w:rPr>
        <w:tab/>
        <w:t xml:space="preserve">Interrogés sur l’impact de la MVE sur leur bien-être physique, </w:t>
      </w:r>
      <w:r w:rsidRPr="004638F7">
        <w:rPr>
          <w:b/>
          <w:bCs/>
          <w:sz w:val="20"/>
          <w:lang w:val="fr-FR"/>
        </w:rPr>
        <w:t>tous les guéris répondent avoir ou avoir eu des séquelles physiques, et particulièrement un affaiblissement physique généralisé</w:t>
      </w:r>
      <w:r>
        <w:rPr>
          <w:sz w:val="20"/>
          <w:lang w:val="fr-FR"/>
        </w:rPr>
        <w:t xml:space="preserve"> qui </w:t>
      </w:r>
      <w:r w:rsidR="00A966F7">
        <w:rPr>
          <w:sz w:val="20"/>
          <w:lang w:val="fr-FR"/>
        </w:rPr>
        <w:t xml:space="preserve">conditionne parfois leur capacité à travailler (dans les champs par exemple). </w:t>
      </w:r>
      <w:r w:rsidR="002F0310">
        <w:rPr>
          <w:sz w:val="20"/>
          <w:lang w:val="fr-FR"/>
        </w:rPr>
        <w:t xml:space="preserve">Cet affaiblissement ressenti dure </w:t>
      </w:r>
      <w:r w:rsidR="002F0310" w:rsidRPr="004638F7">
        <w:rPr>
          <w:b/>
          <w:bCs/>
          <w:sz w:val="20"/>
          <w:lang w:val="fr-FR"/>
        </w:rPr>
        <w:t>plusieurs mois après la guérison</w:t>
      </w:r>
      <w:r w:rsidR="002F0310">
        <w:rPr>
          <w:sz w:val="20"/>
          <w:lang w:val="fr-FR"/>
        </w:rPr>
        <w:t xml:space="preserve"> – jusqu’à neuf, dix mois, d’après les guéris interrogés. De surcroit, les guéris rapportent souffrir de </w:t>
      </w:r>
      <w:r w:rsidR="002F0310" w:rsidRPr="004638F7">
        <w:rPr>
          <w:b/>
          <w:bCs/>
          <w:sz w:val="20"/>
          <w:lang w:val="fr-FR"/>
        </w:rPr>
        <w:t>douleurs, en premier lieu des maux de tête et douleurs aux yeux</w:t>
      </w:r>
      <w:r w:rsidR="002F0310">
        <w:rPr>
          <w:sz w:val="20"/>
          <w:lang w:val="fr-FR"/>
        </w:rPr>
        <w:t>.</w:t>
      </w:r>
      <w:r w:rsidR="00FF1710">
        <w:rPr>
          <w:sz w:val="20"/>
          <w:lang w:val="fr-FR"/>
        </w:rPr>
        <w:t xml:space="preserve"> </w:t>
      </w:r>
      <w:r w:rsidR="00FF1710" w:rsidRPr="004638F7">
        <w:rPr>
          <w:b/>
          <w:bCs/>
          <w:sz w:val="20"/>
          <w:lang w:val="fr-FR"/>
        </w:rPr>
        <w:t>L’impact de la maladie se manifeste aussi sur l’état moral ou psychologique</w:t>
      </w:r>
      <w:r w:rsidR="00FF1710">
        <w:rPr>
          <w:sz w:val="20"/>
          <w:lang w:val="fr-FR"/>
        </w:rPr>
        <w:t xml:space="preserve"> : les guéris expliquent ressentir des changements de comportement erratiques et des troubles de la mémoire, avec une impression de ne pas contrôler leurs émotions. Les sentiments de culpabilité ou regret sont </w:t>
      </w:r>
      <w:r w:rsidR="00E55934">
        <w:rPr>
          <w:sz w:val="20"/>
          <w:lang w:val="fr-FR"/>
        </w:rPr>
        <w:t xml:space="preserve">également </w:t>
      </w:r>
      <w:r w:rsidR="00FF1710">
        <w:rPr>
          <w:sz w:val="20"/>
          <w:lang w:val="fr-FR"/>
        </w:rPr>
        <w:t>présents</w:t>
      </w:r>
      <w:r w:rsidR="00E55934">
        <w:rPr>
          <w:sz w:val="20"/>
          <w:lang w:val="fr-FR"/>
        </w:rPr>
        <w:t xml:space="preserve"> parmi les personnes interrogées</w:t>
      </w:r>
      <w:r w:rsidR="00FF1710">
        <w:rPr>
          <w:sz w:val="20"/>
          <w:lang w:val="fr-FR"/>
        </w:rPr>
        <w:t xml:space="preserve">. </w:t>
      </w:r>
    </w:p>
    <w:p w14:paraId="3B3F7F4E" w14:textId="77777777" w:rsidR="002C5C6B" w:rsidRDefault="00640482" w:rsidP="00097ADB">
      <w:pPr>
        <w:spacing w:line="240" w:lineRule="auto"/>
        <w:ind w:left="-576" w:right="-720"/>
        <w:jc w:val="both"/>
        <w:rPr>
          <w:sz w:val="20"/>
          <w:lang w:val="fr-FR"/>
        </w:rPr>
      </w:pPr>
      <w:r>
        <w:rPr>
          <w:sz w:val="20"/>
          <w:lang w:val="fr-FR"/>
        </w:rPr>
        <w:lastRenderedPageBreak/>
        <w:tab/>
        <w:t xml:space="preserve">Par ailleurs, </w:t>
      </w:r>
      <w:r w:rsidRPr="004638F7">
        <w:rPr>
          <w:b/>
          <w:bCs/>
          <w:sz w:val="20"/>
          <w:lang w:val="fr-FR"/>
        </w:rPr>
        <w:t xml:space="preserve">la majorité des guéris </w:t>
      </w:r>
      <w:r w:rsidR="00E55934" w:rsidRPr="004638F7">
        <w:rPr>
          <w:b/>
          <w:bCs/>
          <w:sz w:val="20"/>
          <w:lang w:val="fr-FR"/>
        </w:rPr>
        <w:t xml:space="preserve">dit </w:t>
      </w:r>
      <w:r w:rsidRPr="004638F7">
        <w:rPr>
          <w:b/>
          <w:bCs/>
          <w:sz w:val="20"/>
          <w:lang w:val="fr-FR"/>
        </w:rPr>
        <w:t>subir de la stigmatisation de la part de leur communauté lors du retour du CTE</w:t>
      </w:r>
      <w:r>
        <w:rPr>
          <w:sz w:val="20"/>
          <w:lang w:val="fr-FR"/>
        </w:rPr>
        <w:t xml:space="preserve">. La stigmatisation ne vient </w:t>
      </w:r>
      <w:r w:rsidRPr="004638F7">
        <w:rPr>
          <w:b/>
          <w:bCs/>
          <w:sz w:val="20"/>
          <w:lang w:val="fr-FR"/>
        </w:rPr>
        <w:t>pas de la famille proche mais plutôt</w:t>
      </w:r>
      <w:r>
        <w:rPr>
          <w:sz w:val="20"/>
          <w:lang w:val="fr-FR"/>
        </w:rPr>
        <w:t xml:space="preserve"> </w:t>
      </w:r>
      <w:r w:rsidRPr="004638F7">
        <w:rPr>
          <w:b/>
          <w:bCs/>
          <w:sz w:val="20"/>
          <w:lang w:val="fr-FR"/>
        </w:rPr>
        <w:t>de l’entourage, voisins, etc., mais aussi du personnel soignant</w:t>
      </w:r>
      <w:r>
        <w:rPr>
          <w:sz w:val="20"/>
          <w:lang w:val="fr-FR"/>
        </w:rPr>
        <w:t>. Cela est particulièrement préoccupant car les guéris se rendent plus que la normale dans les structures de soins à cause des douleurs mentionnées plus haut. Selon les explications données par les guéris interrogés</w:t>
      </w:r>
      <w:r w:rsidRPr="004638F7">
        <w:rPr>
          <w:sz w:val="20"/>
          <w:lang w:val="fr-FR"/>
        </w:rPr>
        <w:t>,</w:t>
      </w:r>
      <w:r w:rsidRPr="004638F7">
        <w:rPr>
          <w:b/>
          <w:bCs/>
          <w:sz w:val="20"/>
          <w:lang w:val="fr-FR"/>
        </w:rPr>
        <w:t xml:space="preserve"> la stigmatisation est toujours causée par la peur de la contamination, c’est-à-dire l’idée que les guéris sont toujours contagieux pour tous</w:t>
      </w:r>
      <w:r w:rsidR="00C136B5" w:rsidRPr="004638F7">
        <w:rPr>
          <w:b/>
          <w:bCs/>
          <w:sz w:val="20"/>
          <w:lang w:val="fr-FR"/>
        </w:rPr>
        <w:t xml:space="preserve"> ceux qui les entourent</w:t>
      </w:r>
      <w:r>
        <w:rPr>
          <w:sz w:val="20"/>
          <w:lang w:val="fr-FR"/>
        </w:rPr>
        <w:t xml:space="preserve">. </w:t>
      </w:r>
    </w:p>
    <w:p w14:paraId="0E039F2B" w14:textId="77777777" w:rsidR="00097ADB" w:rsidRDefault="00097ADB" w:rsidP="00097ADB">
      <w:pPr>
        <w:spacing w:line="240" w:lineRule="auto"/>
        <w:ind w:left="-576" w:right="-720"/>
        <w:jc w:val="both"/>
        <w:rPr>
          <w:sz w:val="20"/>
          <w:lang w:val="fr-FR"/>
        </w:rPr>
      </w:pPr>
      <w:r>
        <w:rPr>
          <w:sz w:val="20"/>
          <w:lang w:val="fr-FR"/>
        </w:rPr>
        <w:tab/>
        <w:t xml:space="preserve">Finalement, les guéris et déchargés non-cas ont identifié </w:t>
      </w:r>
      <w:r w:rsidRPr="004638F7">
        <w:rPr>
          <w:b/>
          <w:bCs/>
          <w:sz w:val="20"/>
          <w:lang w:val="fr-FR"/>
        </w:rPr>
        <w:t>deux besoins principaux : avoir un emploi adapté et lutter contre la stigmatisation au sein des communautés et des structures de soins</w:t>
      </w:r>
      <w:r>
        <w:rPr>
          <w:sz w:val="20"/>
          <w:lang w:val="fr-FR"/>
        </w:rPr>
        <w:t>. Ils émettent plusieurs recommandations à l’endroit de la Réponse :</w:t>
      </w:r>
    </w:p>
    <w:p w14:paraId="3BFDE134" w14:textId="77777777" w:rsidR="00097ADB" w:rsidRDefault="00097ADB" w:rsidP="00097ADB">
      <w:pPr>
        <w:pStyle w:val="ListParagraph"/>
        <w:numPr>
          <w:ilvl w:val="0"/>
          <w:numId w:val="2"/>
        </w:numPr>
        <w:spacing w:line="240" w:lineRule="auto"/>
        <w:ind w:right="-720"/>
        <w:jc w:val="both"/>
        <w:rPr>
          <w:sz w:val="20"/>
          <w:lang w:val="fr-FR"/>
        </w:rPr>
      </w:pPr>
      <w:r>
        <w:rPr>
          <w:sz w:val="20"/>
          <w:lang w:val="fr-FR"/>
        </w:rPr>
        <w:t>Utiliser les témoignages des déchargés non-cas et des guéris pour lutter contre les rumeurs sur le CTE et la MVE ;</w:t>
      </w:r>
    </w:p>
    <w:p w14:paraId="15B564A8" w14:textId="041B2E85" w:rsidR="00097ADB" w:rsidRDefault="00660D2E" w:rsidP="00097ADB">
      <w:pPr>
        <w:pStyle w:val="ListParagraph"/>
        <w:numPr>
          <w:ilvl w:val="0"/>
          <w:numId w:val="2"/>
        </w:numPr>
        <w:spacing w:line="240" w:lineRule="auto"/>
        <w:ind w:right="-720"/>
        <w:jc w:val="both"/>
        <w:rPr>
          <w:sz w:val="20"/>
          <w:lang w:val="fr-FR"/>
        </w:rPr>
      </w:pPr>
      <w:r>
        <w:rPr>
          <w:sz w:val="20"/>
          <w:lang w:val="fr-FR"/>
        </w:rPr>
        <w:t>Renforcer</w:t>
      </w:r>
      <w:r w:rsidR="00CC3C8D">
        <w:rPr>
          <w:sz w:val="20"/>
          <w:lang w:val="fr-FR"/>
        </w:rPr>
        <w:t xml:space="preserve"> l’implication des guéris dans la Réponse, pour communiquer sur les risques ; </w:t>
      </w:r>
    </w:p>
    <w:p w14:paraId="28A47970" w14:textId="3B64BCCC" w:rsidR="00CC3C8D" w:rsidRPr="004638F7" w:rsidRDefault="00CC3C8D" w:rsidP="00CC3C8D">
      <w:pPr>
        <w:pStyle w:val="ListParagraph"/>
        <w:numPr>
          <w:ilvl w:val="0"/>
          <w:numId w:val="2"/>
        </w:numPr>
        <w:spacing w:line="240" w:lineRule="auto"/>
        <w:ind w:right="-720"/>
        <w:jc w:val="both"/>
        <w:rPr>
          <w:sz w:val="20"/>
          <w:lang w:val="fr-FR"/>
        </w:rPr>
      </w:pPr>
      <w:r>
        <w:rPr>
          <w:sz w:val="20"/>
          <w:lang w:val="fr-FR"/>
        </w:rPr>
        <w:t xml:space="preserve">Communiquer sur les risques de réinfection/rechute des guéris : beaucoup de guéris ont déjà entendu ou vu de tels cas et ont la perception qu’on leur cache la vérité. Cela suscite des inquiétudes et contribue </w:t>
      </w:r>
      <w:r w:rsidR="001B6771">
        <w:rPr>
          <w:sz w:val="20"/>
          <w:lang w:val="fr-FR"/>
        </w:rPr>
        <w:t>à la stigmatisation des guéris</w:t>
      </w:r>
      <w:r>
        <w:rPr>
          <w:sz w:val="20"/>
          <w:lang w:val="fr-FR"/>
        </w:rPr>
        <w:t xml:space="preserve">. </w:t>
      </w:r>
    </w:p>
    <w:p w14:paraId="48D37429" w14:textId="77777777" w:rsidR="00CC3C8D" w:rsidRDefault="00CC3C8D" w:rsidP="00CC3C8D">
      <w:pPr>
        <w:pStyle w:val="Heading2"/>
        <w:ind w:left="-576"/>
        <w:rPr>
          <w:lang w:val="fr-FR"/>
        </w:rPr>
      </w:pPr>
      <w:r>
        <w:rPr>
          <w:lang w:val="fr-FR"/>
        </w:rPr>
        <w:t>Recommandations codéveloppées par la CASS avec les partenaires</w:t>
      </w:r>
    </w:p>
    <w:p w14:paraId="731C24C1" w14:textId="77777777" w:rsidR="00CC3C8D" w:rsidRDefault="00CC3C8D" w:rsidP="00CC3C8D">
      <w:pPr>
        <w:ind w:left="-576"/>
        <w:rPr>
          <w:sz w:val="20"/>
          <w:lang w:val="fr-FR"/>
        </w:rPr>
      </w:pPr>
      <w:r w:rsidRPr="00CC3C8D">
        <w:rPr>
          <w:sz w:val="20"/>
          <w:lang w:val="fr-FR"/>
        </w:rPr>
        <w:t xml:space="preserve">Au terme </w:t>
      </w:r>
      <w:r>
        <w:rPr>
          <w:sz w:val="20"/>
          <w:lang w:val="fr-FR"/>
        </w:rPr>
        <w:t>du processus de présentation et de consultation des différents partenaires impliqués dans la prise en charge des guéris</w:t>
      </w:r>
      <w:r w:rsidR="00EE3E59">
        <w:rPr>
          <w:sz w:val="20"/>
          <w:lang w:val="fr-FR"/>
        </w:rPr>
        <w:t xml:space="preserve"> (Commission de prise en charge psychosociale, de Communication des risques et engagement communautaires, UNEERO, MSF, ALIMA, etc.)</w:t>
      </w:r>
      <w:r>
        <w:rPr>
          <w:sz w:val="20"/>
          <w:lang w:val="fr-FR"/>
        </w:rPr>
        <w:t xml:space="preserve">, </w:t>
      </w:r>
      <w:r w:rsidRPr="004638F7">
        <w:rPr>
          <w:b/>
          <w:bCs/>
          <w:sz w:val="20"/>
          <w:lang w:val="fr-FR"/>
        </w:rPr>
        <w:t>plusieurs recommandations ont été proposées et codéveloppées</w:t>
      </w:r>
      <w:r>
        <w:rPr>
          <w:sz w:val="20"/>
          <w:lang w:val="fr-FR"/>
        </w:rPr>
        <w:t xml:space="preserve">. </w:t>
      </w:r>
    </w:p>
    <w:p w14:paraId="19BAF47B" w14:textId="77777777" w:rsidR="00EE3E59" w:rsidRDefault="00EE3E59" w:rsidP="00EE3E59">
      <w:pPr>
        <w:spacing w:line="240" w:lineRule="auto"/>
        <w:ind w:left="-576" w:right="-720"/>
        <w:jc w:val="both"/>
        <w:rPr>
          <w:sz w:val="20"/>
          <w:lang w:val="fr-FR"/>
        </w:rPr>
      </w:pPr>
      <w:r>
        <w:rPr>
          <w:sz w:val="20"/>
          <w:lang w:val="fr-FR"/>
        </w:rPr>
        <w:t xml:space="preserve">La CASS a rencontré </w:t>
      </w:r>
      <w:r w:rsidRPr="004638F7">
        <w:rPr>
          <w:b/>
          <w:bCs/>
          <w:sz w:val="20"/>
          <w:lang w:val="fr-FR"/>
        </w:rPr>
        <w:t>l’Association des guéris à Béni en janvier 2020. Selon eux, la priorité est d’assurer aux guéris une prise en charge médicale de qualité et gratuite pendant les douze mois de suivi mais aussi sur le long-terme</w:t>
      </w:r>
      <w:r>
        <w:rPr>
          <w:sz w:val="20"/>
          <w:lang w:val="fr-FR"/>
        </w:rPr>
        <w:t xml:space="preserve">. </w:t>
      </w:r>
    </w:p>
    <w:tbl>
      <w:tblPr>
        <w:tblStyle w:val="TableGrid"/>
        <w:tblW w:w="11111" w:type="dxa"/>
        <w:tblInd w:w="-576" w:type="dxa"/>
        <w:tblLook w:val="04A0" w:firstRow="1" w:lastRow="0" w:firstColumn="1" w:lastColumn="0" w:noHBand="0" w:noVBand="1"/>
      </w:tblPr>
      <w:tblGrid>
        <w:gridCol w:w="2448"/>
        <w:gridCol w:w="4896"/>
        <w:gridCol w:w="2471"/>
        <w:gridCol w:w="1296"/>
      </w:tblGrid>
      <w:tr w:rsidR="00CC3C8D" w14:paraId="23484825" w14:textId="77777777" w:rsidTr="004638F7">
        <w:tc>
          <w:tcPr>
            <w:tcW w:w="2448" w:type="dxa"/>
            <w:shd w:val="clear" w:color="auto" w:fill="E6EEEB" w:themeFill="accent6" w:themeFillTint="33"/>
          </w:tcPr>
          <w:p w14:paraId="3441C99B" w14:textId="77777777" w:rsidR="00CC3C8D" w:rsidRDefault="00CC3C8D" w:rsidP="00B410D2">
            <w:pPr>
              <w:rPr>
                <w:sz w:val="20"/>
                <w:lang w:val="fr-FR"/>
              </w:rPr>
            </w:pPr>
            <w:r>
              <w:rPr>
                <w:sz w:val="20"/>
                <w:lang w:val="fr-FR"/>
              </w:rPr>
              <w:t>Objectif</w:t>
            </w:r>
          </w:p>
        </w:tc>
        <w:tc>
          <w:tcPr>
            <w:tcW w:w="4896" w:type="dxa"/>
            <w:shd w:val="clear" w:color="auto" w:fill="E6EEEB" w:themeFill="accent6" w:themeFillTint="33"/>
          </w:tcPr>
          <w:p w14:paraId="5AE01E9E" w14:textId="15CADC4E" w:rsidR="00CC3C8D" w:rsidRDefault="00CC3C8D" w:rsidP="00B410D2">
            <w:pPr>
              <w:rPr>
                <w:sz w:val="20"/>
                <w:lang w:val="fr-FR"/>
              </w:rPr>
            </w:pPr>
            <w:r>
              <w:rPr>
                <w:sz w:val="20"/>
                <w:lang w:val="fr-FR"/>
              </w:rPr>
              <w:t>Action</w:t>
            </w:r>
            <w:r w:rsidR="004638F7">
              <w:rPr>
                <w:sz w:val="20"/>
                <w:lang w:val="fr-FR"/>
              </w:rPr>
              <w:t>s</w:t>
            </w:r>
          </w:p>
        </w:tc>
        <w:tc>
          <w:tcPr>
            <w:tcW w:w="2471" w:type="dxa"/>
            <w:shd w:val="clear" w:color="auto" w:fill="E6EEEB" w:themeFill="accent6" w:themeFillTint="33"/>
          </w:tcPr>
          <w:p w14:paraId="63036F09" w14:textId="77777777" w:rsidR="00CC3C8D" w:rsidRDefault="00CC3C8D" w:rsidP="00B410D2">
            <w:pPr>
              <w:rPr>
                <w:sz w:val="20"/>
                <w:lang w:val="fr-FR"/>
              </w:rPr>
            </w:pPr>
            <w:r>
              <w:rPr>
                <w:sz w:val="20"/>
                <w:lang w:val="fr-FR"/>
              </w:rPr>
              <w:t>Acteurs</w:t>
            </w:r>
          </w:p>
        </w:tc>
        <w:tc>
          <w:tcPr>
            <w:tcW w:w="1296" w:type="dxa"/>
            <w:shd w:val="clear" w:color="auto" w:fill="E6EEEB" w:themeFill="accent6" w:themeFillTint="33"/>
          </w:tcPr>
          <w:p w14:paraId="15C78BBB" w14:textId="77777777" w:rsidR="00CC3C8D" w:rsidRDefault="00CC3C8D" w:rsidP="00B410D2">
            <w:pPr>
              <w:rPr>
                <w:sz w:val="20"/>
                <w:lang w:val="fr-FR"/>
              </w:rPr>
            </w:pPr>
            <w:r>
              <w:rPr>
                <w:sz w:val="20"/>
                <w:lang w:val="fr-FR"/>
              </w:rPr>
              <w:t xml:space="preserve">Zone </w:t>
            </w:r>
          </w:p>
        </w:tc>
      </w:tr>
      <w:tr w:rsidR="00B410D2" w14:paraId="74EBEC4D" w14:textId="77777777" w:rsidTr="004638F7">
        <w:tc>
          <w:tcPr>
            <w:tcW w:w="2448" w:type="dxa"/>
            <w:vMerge w:val="restart"/>
            <w:vAlign w:val="center"/>
          </w:tcPr>
          <w:p w14:paraId="27048AA9" w14:textId="77777777" w:rsidR="00B410D2" w:rsidRDefault="00B410D2" w:rsidP="00B410D2">
            <w:pPr>
              <w:jc w:val="center"/>
              <w:rPr>
                <w:sz w:val="20"/>
                <w:lang w:val="fr-FR"/>
              </w:rPr>
            </w:pPr>
            <w:r>
              <w:rPr>
                <w:sz w:val="20"/>
                <w:lang w:val="fr-FR"/>
              </w:rPr>
              <w:t>Lutter contre la stigmatisation</w:t>
            </w:r>
          </w:p>
        </w:tc>
        <w:tc>
          <w:tcPr>
            <w:tcW w:w="4896" w:type="dxa"/>
          </w:tcPr>
          <w:p w14:paraId="7448395A" w14:textId="77777777" w:rsidR="00B410D2" w:rsidRDefault="00B410D2" w:rsidP="00B410D2">
            <w:pPr>
              <w:rPr>
                <w:sz w:val="20"/>
                <w:lang w:val="fr-FR"/>
              </w:rPr>
            </w:pPr>
            <w:r>
              <w:rPr>
                <w:sz w:val="20"/>
                <w:lang w:val="fr-FR"/>
              </w:rPr>
              <w:t xml:space="preserve">Organiser des </w:t>
            </w:r>
            <w:r w:rsidRPr="004638F7">
              <w:rPr>
                <w:b/>
                <w:bCs/>
                <w:sz w:val="20"/>
                <w:lang w:val="fr-FR"/>
              </w:rPr>
              <w:t>rencontres avec les responsables des formations sanitaires</w:t>
            </w:r>
            <w:r>
              <w:rPr>
                <w:sz w:val="20"/>
                <w:lang w:val="fr-FR"/>
              </w:rPr>
              <w:t xml:space="preserve"> par l’intermédiaire des médecins chefs de zone</w:t>
            </w:r>
          </w:p>
        </w:tc>
        <w:tc>
          <w:tcPr>
            <w:tcW w:w="2471" w:type="dxa"/>
          </w:tcPr>
          <w:p w14:paraId="11CD283C" w14:textId="77777777" w:rsidR="00B410D2" w:rsidRDefault="00B410D2" w:rsidP="00B410D2">
            <w:pPr>
              <w:rPr>
                <w:sz w:val="20"/>
                <w:lang w:val="fr-FR"/>
              </w:rPr>
            </w:pPr>
            <w:r>
              <w:rPr>
                <w:sz w:val="20"/>
                <w:lang w:val="fr-FR"/>
              </w:rPr>
              <w:t>Equipes de prise en charge psychosociale (PSS)</w:t>
            </w:r>
          </w:p>
        </w:tc>
        <w:tc>
          <w:tcPr>
            <w:tcW w:w="1296" w:type="dxa"/>
          </w:tcPr>
          <w:p w14:paraId="068D4710" w14:textId="77777777" w:rsidR="00B410D2" w:rsidRDefault="00B410D2" w:rsidP="00B410D2">
            <w:pPr>
              <w:rPr>
                <w:sz w:val="20"/>
                <w:lang w:val="fr-FR"/>
              </w:rPr>
            </w:pPr>
            <w:r>
              <w:rPr>
                <w:sz w:val="20"/>
                <w:lang w:val="fr-FR"/>
              </w:rPr>
              <w:t>Béni et Mabalako</w:t>
            </w:r>
          </w:p>
        </w:tc>
      </w:tr>
      <w:tr w:rsidR="00B410D2" w14:paraId="11BAECC8" w14:textId="77777777" w:rsidTr="004638F7">
        <w:tc>
          <w:tcPr>
            <w:tcW w:w="2448" w:type="dxa"/>
            <w:vMerge/>
          </w:tcPr>
          <w:p w14:paraId="19D54EB8" w14:textId="77777777" w:rsidR="00B410D2" w:rsidRDefault="00B410D2" w:rsidP="00B410D2">
            <w:pPr>
              <w:rPr>
                <w:sz w:val="20"/>
                <w:lang w:val="fr-FR"/>
              </w:rPr>
            </w:pPr>
          </w:p>
        </w:tc>
        <w:tc>
          <w:tcPr>
            <w:tcW w:w="4896" w:type="dxa"/>
          </w:tcPr>
          <w:p w14:paraId="2739AF5A" w14:textId="77777777" w:rsidR="00B410D2" w:rsidRDefault="00B410D2" w:rsidP="00B410D2">
            <w:pPr>
              <w:rPr>
                <w:sz w:val="20"/>
                <w:lang w:val="fr-FR"/>
              </w:rPr>
            </w:pPr>
            <w:r>
              <w:rPr>
                <w:sz w:val="20"/>
                <w:lang w:val="fr-FR"/>
              </w:rPr>
              <w:t xml:space="preserve">Revoir la </w:t>
            </w:r>
            <w:r w:rsidRPr="004638F7">
              <w:rPr>
                <w:b/>
                <w:bCs/>
                <w:sz w:val="20"/>
                <w:lang w:val="fr-FR"/>
              </w:rPr>
              <w:t>stratégie de réinsertion communautaire au cas par cas pour privilégier la discrétion</w:t>
            </w:r>
            <w:r w:rsidR="00C136B5">
              <w:rPr>
                <w:sz w:val="20"/>
                <w:lang w:val="fr-FR"/>
              </w:rPr>
              <w:t xml:space="preserve"> lors du retour dans la parcelle</w:t>
            </w:r>
            <w:r>
              <w:rPr>
                <w:sz w:val="20"/>
                <w:lang w:val="fr-FR"/>
              </w:rPr>
              <w:t xml:space="preserve"> </w:t>
            </w:r>
          </w:p>
        </w:tc>
        <w:tc>
          <w:tcPr>
            <w:tcW w:w="2471" w:type="dxa"/>
          </w:tcPr>
          <w:p w14:paraId="6B08E69C" w14:textId="77777777" w:rsidR="00B410D2" w:rsidRDefault="00B410D2" w:rsidP="00B410D2">
            <w:pPr>
              <w:rPr>
                <w:sz w:val="20"/>
                <w:lang w:val="fr-FR"/>
              </w:rPr>
            </w:pPr>
            <w:r>
              <w:rPr>
                <w:sz w:val="20"/>
                <w:lang w:val="fr-FR"/>
              </w:rPr>
              <w:t>Equipes de la Communication des risques et engagement communautaire (CREC)</w:t>
            </w:r>
          </w:p>
        </w:tc>
        <w:tc>
          <w:tcPr>
            <w:tcW w:w="1296" w:type="dxa"/>
          </w:tcPr>
          <w:p w14:paraId="4F83E37C" w14:textId="77777777" w:rsidR="00B410D2" w:rsidRDefault="00B410D2" w:rsidP="00B410D2">
            <w:pPr>
              <w:rPr>
                <w:sz w:val="20"/>
                <w:lang w:val="fr-FR"/>
              </w:rPr>
            </w:pPr>
            <w:r>
              <w:rPr>
                <w:sz w:val="20"/>
                <w:lang w:val="fr-FR"/>
              </w:rPr>
              <w:t>Mabalako</w:t>
            </w:r>
          </w:p>
        </w:tc>
      </w:tr>
      <w:tr w:rsidR="00CC3C8D" w14:paraId="703F879F" w14:textId="77777777" w:rsidTr="004638F7">
        <w:tc>
          <w:tcPr>
            <w:tcW w:w="2448" w:type="dxa"/>
            <w:vAlign w:val="center"/>
          </w:tcPr>
          <w:p w14:paraId="4B1A7B3D" w14:textId="77777777" w:rsidR="00CC3C8D" w:rsidRDefault="00CC3C8D" w:rsidP="00B410D2">
            <w:pPr>
              <w:jc w:val="center"/>
              <w:rPr>
                <w:sz w:val="20"/>
                <w:lang w:val="fr-FR"/>
              </w:rPr>
            </w:pPr>
            <w:r>
              <w:rPr>
                <w:sz w:val="20"/>
                <w:lang w:val="fr-FR"/>
              </w:rPr>
              <w:t>Améliorer la prise en charge psychosociale des guéris</w:t>
            </w:r>
          </w:p>
        </w:tc>
        <w:tc>
          <w:tcPr>
            <w:tcW w:w="4896" w:type="dxa"/>
          </w:tcPr>
          <w:p w14:paraId="51F6B10B" w14:textId="77777777" w:rsidR="00CC3C8D" w:rsidRDefault="00CC3C8D" w:rsidP="00B410D2">
            <w:pPr>
              <w:rPr>
                <w:sz w:val="20"/>
                <w:lang w:val="fr-FR"/>
              </w:rPr>
            </w:pPr>
            <w:r>
              <w:rPr>
                <w:sz w:val="20"/>
                <w:lang w:val="fr-FR"/>
              </w:rPr>
              <w:t xml:space="preserve">Mise en place de </w:t>
            </w:r>
            <w:r w:rsidRPr="004638F7">
              <w:rPr>
                <w:b/>
                <w:bCs/>
                <w:sz w:val="20"/>
                <w:lang w:val="fr-FR"/>
              </w:rPr>
              <w:t>groupes de paroles de guéris</w:t>
            </w:r>
            <w:r>
              <w:rPr>
                <w:sz w:val="20"/>
                <w:lang w:val="fr-FR"/>
              </w:rPr>
              <w:t xml:space="preserve"> </w:t>
            </w:r>
            <w:r w:rsidRPr="00CC3C8D">
              <w:rPr>
                <w:sz w:val="20"/>
                <w:lang w:val="fr-BE"/>
              </w:rPr>
              <w:t xml:space="preserve">« Tusaidiane » (‘entraide mutuelle’) </w:t>
            </w:r>
          </w:p>
        </w:tc>
        <w:tc>
          <w:tcPr>
            <w:tcW w:w="2471" w:type="dxa"/>
          </w:tcPr>
          <w:p w14:paraId="7FF2E3AF" w14:textId="77777777" w:rsidR="00CC3C8D" w:rsidRDefault="00B410D2" w:rsidP="00B410D2">
            <w:pPr>
              <w:rPr>
                <w:sz w:val="20"/>
                <w:lang w:val="fr-FR"/>
              </w:rPr>
            </w:pPr>
            <w:r>
              <w:rPr>
                <w:sz w:val="20"/>
                <w:lang w:val="fr-FR"/>
              </w:rPr>
              <w:t>Equipes PSS</w:t>
            </w:r>
          </w:p>
        </w:tc>
        <w:tc>
          <w:tcPr>
            <w:tcW w:w="1296" w:type="dxa"/>
          </w:tcPr>
          <w:p w14:paraId="2415B7F9" w14:textId="77777777" w:rsidR="00CC3C8D" w:rsidRDefault="00B9538F" w:rsidP="00B410D2">
            <w:pPr>
              <w:rPr>
                <w:sz w:val="20"/>
                <w:lang w:val="fr-FR"/>
              </w:rPr>
            </w:pPr>
            <w:r>
              <w:rPr>
                <w:sz w:val="20"/>
                <w:lang w:val="fr-FR"/>
              </w:rPr>
              <w:t>Toutes les zones</w:t>
            </w:r>
          </w:p>
        </w:tc>
      </w:tr>
      <w:tr w:rsidR="00CC3C8D" w14:paraId="33BCEDE5" w14:textId="77777777" w:rsidTr="004638F7">
        <w:tc>
          <w:tcPr>
            <w:tcW w:w="2448" w:type="dxa"/>
            <w:vAlign w:val="center"/>
          </w:tcPr>
          <w:p w14:paraId="5042D97E" w14:textId="77777777" w:rsidR="00CC3C8D" w:rsidRDefault="00B9538F" w:rsidP="00B410D2">
            <w:pPr>
              <w:jc w:val="center"/>
              <w:rPr>
                <w:sz w:val="20"/>
                <w:lang w:val="fr-FR"/>
              </w:rPr>
            </w:pPr>
            <w:r>
              <w:rPr>
                <w:sz w:val="20"/>
                <w:lang w:val="fr-FR"/>
              </w:rPr>
              <w:t>Prise en charge des enfants guéris</w:t>
            </w:r>
          </w:p>
        </w:tc>
        <w:tc>
          <w:tcPr>
            <w:tcW w:w="4896" w:type="dxa"/>
          </w:tcPr>
          <w:p w14:paraId="2F9EA4FF" w14:textId="77777777" w:rsidR="00CC3C8D" w:rsidRDefault="00B9538F" w:rsidP="00B410D2">
            <w:pPr>
              <w:rPr>
                <w:sz w:val="20"/>
                <w:lang w:val="fr-FR"/>
              </w:rPr>
            </w:pPr>
            <w:r>
              <w:rPr>
                <w:sz w:val="20"/>
                <w:lang w:val="fr-FR"/>
              </w:rPr>
              <w:t xml:space="preserve">Inclusion des </w:t>
            </w:r>
            <w:r w:rsidRPr="004638F7">
              <w:rPr>
                <w:b/>
                <w:bCs/>
                <w:sz w:val="20"/>
                <w:lang w:val="fr-FR"/>
              </w:rPr>
              <w:t>enfants guéris</w:t>
            </w:r>
            <w:r>
              <w:rPr>
                <w:sz w:val="20"/>
                <w:lang w:val="fr-FR"/>
              </w:rPr>
              <w:t xml:space="preserve"> dans les projets de protection de l’enfance</w:t>
            </w:r>
          </w:p>
        </w:tc>
        <w:tc>
          <w:tcPr>
            <w:tcW w:w="2471" w:type="dxa"/>
          </w:tcPr>
          <w:p w14:paraId="742C8587" w14:textId="77777777" w:rsidR="00CC3C8D" w:rsidRDefault="00B410D2" w:rsidP="00B410D2">
            <w:pPr>
              <w:rPr>
                <w:sz w:val="20"/>
                <w:lang w:val="fr-FR"/>
              </w:rPr>
            </w:pPr>
            <w:r>
              <w:rPr>
                <w:sz w:val="20"/>
                <w:lang w:val="fr-FR"/>
              </w:rPr>
              <w:t>Equipes PSS et Pilier 3</w:t>
            </w:r>
          </w:p>
        </w:tc>
        <w:tc>
          <w:tcPr>
            <w:tcW w:w="1296" w:type="dxa"/>
          </w:tcPr>
          <w:p w14:paraId="6B0B8367" w14:textId="77777777" w:rsidR="00CC3C8D" w:rsidRDefault="00B410D2" w:rsidP="00B410D2">
            <w:pPr>
              <w:rPr>
                <w:sz w:val="20"/>
                <w:lang w:val="fr-FR"/>
              </w:rPr>
            </w:pPr>
            <w:r>
              <w:rPr>
                <w:sz w:val="20"/>
                <w:lang w:val="fr-FR"/>
              </w:rPr>
              <w:t>Toutes les zones</w:t>
            </w:r>
          </w:p>
        </w:tc>
      </w:tr>
      <w:tr w:rsidR="00B410D2" w14:paraId="26187273" w14:textId="77777777" w:rsidTr="004638F7">
        <w:tc>
          <w:tcPr>
            <w:tcW w:w="2448" w:type="dxa"/>
            <w:vMerge w:val="restart"/>
            <w:vAlign w:val="center"/>
          </w:tcPr>
          <w:p w14:paraId="71FF3E2F" w14:textId="77777777" w:rsidR="00B410D2" w:rsidRDefault="00B410D2" w:rsidP="00B410D2">
            <w:pPr>
              <w:jc w:val="center"/>
              <w:rPr>
                <w:sz w:val="20"/>
                <w:lang w:val="fr-FR"/>
              </w:rPr>
            </w:pPr>
            <w:r>
              <w:rPr>
                <w:sz w:val="20"/>
                <w:lang w:val="fr-FR"/>
              </w:rPr>
              <w:t>Implication des déchargés non-cas et des guéris pour passer des messages positifs</w:t>
            </w:r>
          </w:p>
        </w:tc>
        <w:tc>
          <w:tcPr>
            <w:tcW w:w="4896" w:type="dxa"/>
          </w:tcPr>
          <w:p w14:paraId="680182AA" w14:textId="77777777" w:rsidR="00B410D2" w:rsidRDefault="00B410D2" w:rsidP="00B410D2">
            <w:pPr>
              <w:rPr>
                <w:sz w:val="20"/>
                <w:lang w:val="fr-FR"/>
              </w:rPr>
            </w:pPr>
            <w:r w:rsidRPr="004638F7">
              <w:rPr>
                <w:b/>
                <w:bCs/>
                <w:sz w:val="20"/>
                <w:lang w:val="fr-FR"/>
              </w:rPr>
              <w:t>Organisation de dialogues entre guéris et tradipraticiens</w:t>
            </w:r>
            <w:r>
              <w:rPr>
                <w:sz w:val="20"/>
                <w:lang w:val="fr-FR"/>
              </w:rPr>
              <w:t xml:space="preserve"> pour sensibiliser à l’importance de la prise en charge précoce</w:t>
            </w:r>
          </w:p>
        </w:tc>
        <w:tc>
          <w:tcPr>
            <w:tcW w:w="2471" w:type="dxa"/>
          </w:tcPr>
          <w:p w14:paraId="1CFE9BB0" w14:textId="77777777" w:rsidR="00B410D2" w:rsidRDefault="00B410D2" w:rsidP="00B410D2">
            <w:pPr>
              <w:rPr>
                <w:sz w:val="20"/>
                <w:lang w:val="fr-FR"/>
              </w:rPr>
            </w:pPr>
            <w:r>
              <w:rPr>
                <w:sz w:val="20"/>
                <w:lang w:val="fr-FR"/>
              </w:rPr>
              <w:t>Equipes PSS</w:t>
            </w:r>
          </w:p>
        </w:tc>
        <w:tc>
          <w:tcPr>
            <w:tcW w:w="1296" w:type="dxa"/>
          </w:tcPr>
          <w:p w14:paraId="6EA75FF0" w14:textId="77777777" w:rsidR="00B410D2" w:rsidRDefault="00B410D2" w:rsidP="00B410D2">
            <w:pPr>
              <w:rPr>
                <w:sz w:val="20"/>
                <w:lang w:val="fr-FR"/>
              </w:rPr>
            </w:pPr>
            <w:r>
              <w:rPr>
                <w:sz w:val="20"/>
                <w:lang w:val="fr-FR"/>
              </w:rPr>
              <w:t>Mabalako</w:t>
            </w:r>
          </w:p>
        </w:tc>
      </w:tr>
      <w:tr w:rsidR="00B410D2" w14:paraId="3C2AB6BE" w14:textId="77777777" w:rsidTr="004638F7">
        <w:tc>
          <w:tcPr>
            <w:tcW w:w="2448" w:type="dxa"/>
            <w:vMerge/>
          </w:tcPr>
          <w:p w14:paraId="12EB6DC9" w14:textId="77777777" w:rsidR="00B410D2" w:rsidRDefault="00B410D2" w:rsidP="00B410D2">
            <w:pPr>
              <w:rPr>
                <w:sz w:val="20"/>
                <w:lang w:val="fr-FR"/>
              </w:rPr>
            </w:pPr>
          </w:p>
        </w:tc>
        <w:tc>
          <w:tcPr>
            <w:tcW w:w="4896" w:type="dxa"/>
          </w:tcPr>
          <w:p w14:paraId="6CDF80D9" w14:textId="77777777" w:rsidR="00B410D2" w:rsidRDefault="00B410D2" w:rsidP="00B410D2">
            <w:pPr>
              <w:rPr>
                <w:sz w:val="20"/>
                <w:lang w:val="fr-FR"/>
              </w:rPr>
            </w:pPr>
            <w:r>
              <w:rPr>
                <w:sz w:val="20"/>
                <w:lang w:val="fr-FR"/>
              </w:rPr>
              <w:t xml:space="preserve">Diffusion de témoignages de guéris et déchargés non-cas à la radio </w:t>
            </w:r>
          </w:p>
        </w:tc>
        <w:tc>
          <w:tcPr>
            <w:tcW w:w="2471" w:type="dxa"/>
          </w:tcPr>
          <w:p w14:paraId="555EF3F3" w14:textId="77777777" w:rsidR="00B410D2" w:rsidRDefault="00B410D2" w:rsidP="00B410D2">
            <w:pPr>
              <w:rPr>
                <w:sz w:val="20"/>
                <w:lang w:val="fr-FR"/>
              </w:rPr>
            </w:pPr>
            <w:r>
              <w:rPr>
                <w:sz w:val="20"/>
                <w:lang w:val="fr-FR"/>
              </w:rPr>
              <w:t>Equipes CREC</w:t>
            </w:r>
          </w:p>
        </w:tc>
        <w:tc>
          <w:tcPr>
            <w:tcW w:w="1296" w:type="dxa"/>
          </w:tcPr>
          <w:p w14:paraId="36C19981" w14:textId="77777777" w:rsidR="00B410D2" w:rsidRDefault="00B410D2" w:rsidP="00B410D2">
            <w:pPr>
              <w:rPr>
                <w:sz w:val="20"/>
                <w:lang w:val="fr-FR"/>
              </w:rPr>
            </w:pPr>
            <w:r>
              <w:rPr>
                <w:sz w:val="20"/>
                <w:lang w:val="fr-FR"/>
              </w:rPr>
              <w:t>Mabalako</w:t>
            </w:r>
          </w:p>
        </w:tc>
      </w:tr>
      <w:tr w:rsidR="00B410D2" w14:paraId="43E81BFB" w14:textId="77777777" w:rsidTr="004638F7">
        <w:tc>
          <w:tcPr>
            <w:tcW w:w="2448" w:type="dxa"/>
            <w:vMerge/>
          </w:tcPr>
          <w:p w14:paraId="4DB1586F" w14:textId="77777777" w:rsidR="00B410D2" w:rsidRDefault="00B410D2" w:rsidP="00B410D2">
            <w:pPr>
              <w:rPr>
                <w:sz w:val="20"/>
                <w:lang w:val="fr-FR"/>
              </w:rPr>
            </w:pPr>
          </w:p>
        </w:tc>
        <w:tc>
          <w:tcPr>
            <w:tcW w:w="4896" w:type="dxa"/>
          </w:tcPr>
          <w:p w14:paraId="279A8A1E" w14:textId="77777777" w:rsidR="00B410D2" w:rsidRDefault="00B410D2" w:rsidP="00B410D2">
            <w:pPr>
              <w:rPr>
                <w:sz w:val="20"/>
                <w:lang w:val="fr-FR"/>
              </w:rPr>
            </w:pPr>
            <w:r>
              <w:rPr>
                <w:sz w:val="20"/>
                <w:lang w:val="fr-FR"/>
              </w:rPr>
              <w:t>Sensibilisation des déchargés non-cas lors de leur sortie du CTE/CT pour transmettre des messages positifs à leur retour dans la communauté</w:t>
            </w:r>
          </w:p>
        </w:tc>
        <w:tc>
          <w:tcPr>
            <w:tcW w:w="2471" w:type="dxa"/>
          </w:tcPr>
          <w:p w14:paraId="6EB17B09" w14:textId="77777777" w:rsidR="00B410D2" w:rsidRDefault="00B410D2" w:rsidP="00B410D2">
            <w:pPr>
              <w:rPr>
                <w:sz w:val="20"/>
                <w:lang w:val="fr-FR"/>
              </w:rPr>
            </w:pPr>
            <w:r>
              <w:rPr>
                <w:sz w:val="20"/>
                <w:lang w:val="fr-FR"/>
              </w:rPr>
              <w:t>Equipes CREC</w:t>
            </w:r>
          </w:p>
        </w:tc>
        <w:tc>
          <w:tcPr>
            <w:tcW w:w="1296" w:type="dxa"/>
          </w:tcPr>
          <w:p w14:paraId="29C9F5D1" w14:textId="77777777" w:rsidR="00B410D2" w:rsidRDefault="00B410D2" w:rsidP="00B410D2">
            <w:pPr>
              <w:rPr>
                <w:sz w:val="20"/>
                <w:lang w:val="fr-FR"/>
              </w:rPr>
            </w:pPr>
            <w:r>
              <w:rPr>
                <w:sz w:val="20"/>
                <w:lang w:val="fr-FR"/>
              </w:rPr>
              <w:t xml:space="preserve">Béni et Mabalako </w:t>
            </w:r>
          </w:p>
        </w:tc>
      </w:tr>
      <w:tr w:rsidR="00B410D2" w14:paraId="13EACB6B" w14:textId="77777777" w:rsidTr="004638F7">
        <w:tc>
          <w:tcPr>
            <w:tcW w:w="2448" w:type="dxa"/>
          </w:tcPr>
          <w:p w14:paraId="3A8649D8" w14:textId="77777777" w:rsidR="00B410D2" w:rsidRDefault="00B410D2" w:rsidP="00B410D2">
            <w:pPr>
              <w:rPr>
                <w:sz w:val="20"/>
                <w:lang w:val="fr-FR"/>
              </w:rPr>
            </w:pPr>
            <w:r>
              <w:rPr>
                <w:sz w:val="20"/>
                <w:lang w:val="fr-FR"/>
              </w:rPr>
              <w:t>Utiliser un langage approprié</w:t>
            </w:r>
          </w:p>
        </w:tc>
        <w:tc>
          <w:tcPr>
            <w:tcW w:w="4896" w:type="dxa"/>
          </w:tcPr>
          <w:p w14:paraId="4CCBBF41" w14:textId="2D354D09" w:rsidR="00B410D2" w:rsidRDefault="00B410D2" w:rsidP="00B410D2">
            <w:pPr>
              <w:rPr>
                <w:sz w:val="20"/>
                <w:lang w:val="fr-FR"/>
              </w:rPr>
            </w:pPr>
            <w:r w:rsidRPr="00B410D2">
              <w:rPr>
                <w:sz w:val="20"/>
                <w:lang w:val="fr-BE"/>
              </w:rPr>
              <w:t>Mener une étude sur les mots utilisés pour désigner les guéris en langues locales et leurs implications</w:t>
            </w:r>
            <w:r w:rsidR="004638F7">
              <w:rPr>
                <w:sz w:val="20"/>
                <w:lang w:val="fr-BE"/>
              </w:rPr>
              <w:t xml:space="preserve">* </w:t>
            </w:r>
          </w:p>
        </w:tc>
        <w:tc>
          <w:tcPr>
            <w:tcW w:w="2471" w:type="dxa"/>
          </w:tcPr>
          <w:p w14:paraId="3F750E02" w14:textId="75954ECE" w:rsidR="00B410D2" w:rsidRDefault="00B410D2" w:rsidP="00B410D2">
            <w:pPr>
              <w:rPr>
                <w:sz w:val="20"/>
                <w:lang w:val="fr-FR"/>
              </w:rPr>
            </w:pPr>
            <w:r>
              <w:rPr>
                <w:sz w:val="20"/>
                <w:lang w:val="fr-FR"/>
              </w:rPr>
              <w:t>Traducteurs sans frontières</w:t>
            </w:r>
            <w:r w:rsidR="004638F7">
              <w:rPr>
                <w:sz w:val="20"/>
                <w:lang w:val="fr-FR"/>
              </w:rPr>
              <w:t xml:space="preserve"> (TWB)</w:t>
            </w:r>
          </w:p>
        </w:tc>
        <w:tc>
          <w:tcPr>
            <w:tcW w:w="1296" w:type="dxa"/>
          </w:tcPr>
          <w:p w14:paraId="08A74410" w14:textId="77777777" w:rsidR="00B410D2" w:rsidRDefault="00B410D2" w:rsidP="00B410D2">
            <w:pPr>
              <w:rPr>
                <w:sz w:val="20"/>
                <w:lang w:val="fr-FR"/>
              </w:rPr>
            </w:pPr>
            <w:r>
              <w:rPr>
                <w:sz w:val="20"/>
                <w:lang w:val="fr-FR"/>
              </w:rPr>
              <w:t xml:space="preserve">Béni </w:t>
            </w:r>
          </w:p>
        </w:tc>
      </w:tr>
      <w:tr w:rsidR="00B410D2" w14:paraId="7CCDD1D9" w14:textId="77777777" w:rsidTr="004638F7">
        <w:tc>
          <w:tcPr>
            <w:tcW w:w="2448" w:type="dxa"/>
          </w:tcPr>
          <w:p w14:paraId="318A84CA" w14:textId="31B3EBD4" w:rsidR="00B410D2" w:rsidRDefault="004638F7" w:rsidP="00B410D2">
            <w:pPr>
              <w:rPr>
                <w:sz w:val="20"/>
                <w:lang w:val="fr-FR"/>
              </w:rPr>
            </w:pPr>
            <w:r>
              <w:rPr>
                <w:sz w:val="20"/>
                <w:lang w:val="fr-FR"/>
              </w:rPr>
              <w:t>C</w:t>
            </w:r>
            <w:r w:rsidR="00B410D2">
              <w:rPr>
                <w:sz w:val="20"/>
                <w:lang w:val="fr-FR"/>
              </w:rPr>
              <w:t xml:space="preserve">ommuniquer sur les risques de </w:t>
            </w:r>
            <w:r w:rsidR="00B410D2" w:rsidRPr="00C3005A">
              <w:rPr>
                <w:sz w:val="18"/>
                <w:lang w:val="fr-FR"/>
              </w:rPr>
              <w:t>réinfection</w:t>
            </w:r>
          </w:p>
        </w:tc>
        <w:tc>
          <w:tcPr>
            <w:tcW w:w="4896" w:type="dxa"/>
          </w:tcPr>
          <w:p w14:paraId="2A1506B6" w14:textId="77777777" w:rsidR="00B410D2" w:rsidRPr="00B410D2" w:rsidRDefault="00B410D2" w:rsidP="00B410D2">
            <w:pPr>
              <w:rPr>
                <w:sz w:val="20"/>
                <w:lang w:val="fr-BE"/>
              </w:rPr>
            </w:pPr>
            <w:r>
              <w:rPr>
                <w:sz w:val="20"/>
                <w:lang w:val="fr-BE"/>
              </w:rPr>
              <w:t>Plaidoyer de la CASS pour qu’un message clair soit communiqué sur les risques de réinfection/rechute des guéris</w:t>
            </w:r>
          </w:p>
        </w:tc>
        <w:tc>
          <w:tcPr>
            <w:tcW w:w="2471" w:type="dxa"/>
          </w:tcPr>
          <w:p w14:paraId="03AF38FB" w14:textId="77777777" w:rsidR="00B410D2" w:rsidRDefault="00B410D2" w:rsidP="00B410D2">
            <w:pPr>
              <w:rPr>
                <w:sz w:val="20"/>
                <w:lang w:val="fr-FR"/>
              </w:rPr>
            </w:pPr>
            <w:r>
              <w:rPr>
                <w:sz w:val="20"/>
                <w:lang w:val="fr-FR"/>
              </w:rPr>
              <w:t>CASS</w:t>
            </w:r>
          </w:p>
        </w:tc>
        <w:tc>
          <w:tcPr>
            <w:tcW w:w="1296" w:type="dxa"/>
          </w:tcPr>
          <w:p w14:paraId="7429A5E2" w14:textId="153E62C1" w:rsidR="00B410D2" w:rsidRDefault="008462CF" w:rsidP="00B410D2">
            <w:pPr>
              <w:rPr>
                <w:sz w:val="20"/>
                <w:lang w:val="fr-FR"/>
              </w:rPr>
            </w:pPr>
            <w:r>
              <w:rPr>
                <w:sz w:val="20"/>
                <w:lang w:val="fr-FR"/>
              </w:rPr>
              <w:t>Coordination stratégique à Goma</w:t>
            </w:r>
          </w:p>
        </w:tc>
      </w:tr>
    </w:tbl>
    <w:p w14:paraId="2EEEAEDD" w14:textId="155F4BA6" w:rsidR="004638F7" w:rsidRDefault="004638F7" w:rsidP="004638F7">
      <w:pPr>
        <w:spacing w:line="240" w:lineRule="auto"/>
        <w:ind w:right="-720"/>
        <w:jc w:val="both"/>
        <w:rPr>
          <w:sz w:val="18"/>
          <w:szCs w:val="18"/>
          <w:lang w:val="fr-FR"/>
        </w:rPr>
      </w:pPr>
      <w:r w:rsidRPr="004638F7">
        <w:rPr>
          <w:sz w:val="20"/>
          <w:lang w:val="fr-FR"/>
        </w:rPr>
        <w:t>*</w:t>
      </w:r>
      <w:r>
        <w:rPr>
          <w:sz w:val="20"/>
          <w:lang w:val="fr-FR"/>
        </w:rPr>
        <w:t xml:space="preserve"> </w:t>
      </w:r>
      <w:r w:rsidRPr="004638F7">
        <w:rPr>
          <w:sz w:val="18"/>
          <w:szCs w:val="18"/>
          <w:lang w:val="fr-FR"/>
        </w:rPr>
        <w:t xml:space="preserve">Cette étude n’a pu être menée à cause des restrictions de mouvements du moins de mars 2020 qui ont affectées le personnel de </w:t>
      </w:r>
      <w:r>
        <w:rPr>
          <w:sz w:val="18"/>
          <w:szCs w:val="18"/>
          <w:lang w:val="fr-FR"/>
        </w:rPr>
        <w:t>TWB</w:t>
      </w:r>
      <w:r w:rsidRPr="004638F7">
        <w:rPr>
          <w:sz w:val="18"/>
          <w:szCs w:val="18"/>
          <w:lang w:val="fr-FR"/>
        </w:rPr>
        <w:t>.</w:t>
      </w:r>
    </w:p>
    <w:p w14:paraId="6C8CD7FD" w14:textId="77777777" w:rsidR="00483A3E" w:rsidRDefault="00483A3E" w:rsidP="008462CF">
      <w:pPr>
        <w:pStyle w:val="Heading2"/>
        <w:rPr>
          <w:lang w:val="fr-FR"/>
        </w:rPr>
      </w:pPr>
    </w:p>
    <w:p w14:paraId="03E5E85D" w14:textId="7246F66C" w:rsidR="008462CF" w:rsidRDefault="008462CF" w:rsidP="008462CF">
      <w:pPr>
        <w:pStyle w:val="Heading2"/>
        <w:rPr>
          <w:lang w:val="fr-FR"/>
        </w:rPr>
      </w:pPr>
      <w:r>
        <w:rPr>
          <w:lang w:val="fr-FR"/>
        </w:rPr>
        <w:t xml:space="preserve">Conclusion </w:t>
      </w:r>
    </w:p>
    <w:p w14:paraId="09AA4A57" w14:textId="77777777" w:rsidR="00D45A1F" w:rsidRDefault="008462CF" w:rsidP="00D45A1F">
      <w:pPr>
        <w:ind w:left="-576" w:right="-720"/>
        <w:jc w:val="both"/>
        <w:rPr>
          <w:sz w:val="20"/>
          <w:szCs w:val="20"/>
          <w:lang w:val="fr-FR"/>
        </w:rPr>
      </w:pPr>
      <w:r w:rsidRPr="008462CF">
        <w:rPr>
          <w:sz w:val="20"/>
          <w:szCs w:val="20"/>
          <w:lang w:val="fr-FR"/>
        </w:rPr>
        <w:t>Sur la base de</w:t>
      </w:r>
      <w:r>
        <w:rPr>
          <w:sz w:val="20"/>
          <w:szCs w:val="20"/>
          <w:lang w:val="fr-FR"/>
        </w:rPr>
        <w:t xml:space="preserve">s recherches menées par la CASS sur les guéris de la MVE dans l’épidémie du Nord-Kivu et de l’Ituri en RDC, les points suivants concernant les guéris sont </w:t>
      </w:r>
      <w:r w:rsidRPr="00CC1920">
        <w:rPr>
          <w:b/>
          <w:bCs/>
          <w:sz w:val="20"/>
          <w:szCs w:val="20"/>
          <w:lang w:val="fr-FR"/>
        </w:rPr>
        <w:t>à retenir pour de futures interventions</w:t>
      </w:r>
      <w:r>
        <w:rPr>
          <w:sz w:val="20"/>
          <w:szCs w:val="20"/>
          <w:lang w:val="fr-FR"/>
        </w:rPr>
        <w:t xml:space="preserve"> : </w:t>
      </w:r>
    </w:p>
    <w:p w14:paraId="2735FF05" w14:textId="77777777" w:rsidR="00D45A1F" w:rsidRDefault="008462CF" w:rsidP="00D45A1F">
      <w:pPr>
        <w:pStyle w:val="ListParagraph"/>
        <w:numPr>
          <w:ilvl w:val="0"/>
          <w:numId w:val="4"/>
        </w:numPr>
        <w:ind w:right="-720"/>
        <w:jc w:val="both"/>
        <w:rPr>
          <w:sz w:val="20"/>
          <w:szCs w:val="20"/>
          <w:lang w:val="fr-FR"/>
        </w:rPr>
      </w:pPr>
      <w:r w:rsidRPr="00D45A1F">
        <w:rPr>
          <w:sz w:val="20"/>
          <w:szCs w:val="20"/>
          <w:lang w:val="fr-FR"/>
        </w:rPr>
        <w:t xml:space="preserve">Sur la base des données scientifiques disponibles, </w:t>
      </w:r>
      <w:r w:rsidRPr="00D45A1F">
        <w:rPr>
          <w:b/>
          <w:bCs/>
          <w:sz w:val="20"/>
          <w:szCs w:val="20"/>
          <w:lang w:val="fr-FR"/>
        </w:rPr>
        <w:t xml:space="preserve">les risques de transmission post-guérison ainsi que de rechute ou de réinfection des guéris </w:t>
      </w:r>
      <w:r w:rsidR="004C289E" w:rsidRPr="00D45A1F">
        <w:rPr>
          <w:b/>
          <w:bCs/>
          <w:sz w:val="20"/>
          <w:szCs w:val="20"/>
          <w:lang w:val="fr-FR"/>
        </w:rPr>
        <w:t>sont</w:t>
      </w:r>
      <w:r w:rsidRPr="00D45A1F">
        <w:rPr>
          <w:b/>
          <w:bCs/>
          <w:sz w:val="20"/>
          <w:szCs w:val="20"/>
          <w:lang w:val="fr-FR"/>
        </w:rPr>
        <w:t xml:space="preserve"> communiqués aux populations dès le début de l’épidémie</w:t>
      </w:r>
      <w:r w:rsidRPr="00D45A1F">
        <w:rPr>
          <w:sz w:val="20"/>
          <w:szCs w:val="20"/>
          <w:lang w:val="fr-FR"/>
        </w:rPr>
        <w:t xml:space="preserve"> (si les données ne sont pas concluantes, il faut aussi le communiquer). </w:t>
      </w:r>
    </w:p>
    <w:p w14:paraId="58E271DA" w14:textId="77777777" w:rsidR="00D45A1F" w:rsidRDefault="008462CF" w:rsidP="00D45A1F">
      <w:pPr>
        <w:pStyle w:val="ListParagraph"/>
        <w:numPr>
          <w:ilvl w:val="0"/>
          <w:numId w:val="4"/>
        </w:numPr>
        <w:ind w:right="-720"/>
        <w:jc w:val="both"/>
        <w:rPr>
          <w:sz w:val="20"/>
          <w:szCs w:val="20"/>
          <w:lang w:val="fr-FR"/>
        </w:rPr>
      </w:pPr>
      <w:r w:rsidRPr="00D45A1F">
        <w:rPr>
          <w:sz w:val="20"/>
          <w:szCs w:val="20"/>
          <w:lang w:val="fr-FR"/>
        </w:rPr>
        <w:t xml:space="preserve">Les interventions de </w:t>
      </w:r>
      <w:r w:rsidRPr="00D45A1F">
        <w:rPr>
          <w:b/>
          <w:bCs/>
          <w:sz w:val="20"/>
          <w:szCs w:val="20"/>
          <w:lang w:val="fr-FR"/>
        </w:rPr>
        <w:t xml:space="preserve">réinsertion des guéris dans leurs communautés </w:t>
      </w:r>
      <w:r w:rsidR="004C289E" w:rsidRPr="00D45A1F">
        <w:rPr>
          <w:b/>
          <w:bCs/>
          <w:sz w:val="20"/>
          <w:szCs w:val="20"/>
          <w:lang w:val="fr-FR"/>
        </w:rPr>
        <w:t xml:space="preserve">se </w:t>
      </w:r>
      <w:r w:rsidR="00CC1920" w:rsidRPr="00D45A1F">
        <w:rPr>
          <w:b/>
          <w:bCs/>
          <w:sz w:val="20"/>
          <w:szCs w:val="20"/>
          <w:lang w:val="fr-FR"/>
        </w:rPr>
        <w:t>font</w:t>
      </w:r>
      <w:r w:rsidRPr="00D45A1F">
        <w:rPr>
          <w:b/>
          <w:bCs/>
          <w:sz w:val="20"/>
          <w:szCs w:val="20"/>
          <w:lang w:val="fr-FR"/>
        </w:rPr>
        <w:t xml:space="preserve"> selon une approche </w:t>
      </w:r>
      <w:r w:rsidR="00CC1920" w:rsidRPr="00D45A1F">
        <w:rPr>
          <w:b/>
          <w:bCs/>
          <w:sz w:val="20"/>
          <w:szCs w:val="20"/>
          <w:lang w:val="fr-FR"/>
        </w:rPr>
        <w:t>au</w:t>
      </w:r>
      <w:r w:rsidRPr="00D45A1F">
        <w:rPr>
          <w:b/>
          <w:bCs/>
          <w:sz w:val="20"/>
          <w:szCs w:val="20"/>
          <w:lang w:val="fr-FR"/>
        </w:rPr>
        <w:t xml:space="preserve"> « cas par cas », en prenant en compte d’abord la situation et les souhaits du guéri</w:t>
      </w:r>
      <w:r w:rsidRPr="00D45A1F">
        <w:rPr>
          <w:sz w:val="20"/>
          <w:szCs w:val="20"/>
          <w:lang w:val="fr-FR"/>
        </w:rPr>
        <w:t xml:space="preserve"> (les fêtes de réinsertion dans la communauté peuvent produire l’effet contraire à celui escompté) ainsi que le contexte sécuritaire de la zone (dans les zones de forte réticence communautaire des zones de santé de Katwa ou Mabalako</w:t>
      </w:r>
      <w:r w:rsidR="00CC1920" w:rsidRPr="00D45A1F">
        <w:rPr>
          <w:sz w:val="20"/>
          <w:szCs w:val="20"/>
          <w:lang w:val="fr-FR"/>
        </w:rPr>
        <w:t xml:space="preserve"> par exemple</w:t>
      </w:r>
      <w:r w:rsidRPr="00D45A1F">
        <w:rPr>
          <w:sz w:val="20"/>
          <w:szCs w:val="20"/>
          <w:lang w:val="fr-FR"/>
        </w:rPr>
        <w:t xml:space="preserve">, on préférera que les équipes de réponse n’accompagnent pas le guéri jusqu’à son domicile pour le protéger). </w:t>
      </w:r>
    </w:p>
    <w:p w14:paraId="3244C754" w14:textId="77777777" w:rsidR="00D45A1F" w:rsidRDefault="008462CF" w:rsidP="00D45A1F">
      <w:pPr>
        <w:pStyle w:val="ListParagraph"/>
        <w:numPr>
          <w:ilvl w:val="0"/>
          <w:numId w:val="4"/>
        </w:numPr>
        <w:ind w:right="-720"/>
        <w:jc w:val="both"/>
        <w:rPr>
          <w:sz w:val="20"/>
          <w:szCs w:val="20"/>
          <w:lang w:val="fr-FR"/>
        </w:rPr>
      </w:pPr>
      <w:r w:rsidRPr="00D45A1F">
        <w:rPr>
          <w:sz w:val="20"/>
          <w:szCs w:val="20"/>
          <w:lang w:val="fr-FR"/>
        </w:rPr>
        <w:t xml:space="preserve">Les programmes de </w:t>
      </w:r>
      <w:r w:rsidRPr="00D45A1F">
        <w:rPr>
          <w:b/>
          <w:bCs/>
          <w:sz w:val="20"/>
          <w:szCs w:val="20"/>
          <w:lang w:val="fr-FR"/>
        </w:rPr>
        <w:t>suivi médical post-guérison garantissent une prise en charge complètement gratuite</w:t>
      </w:r>
      <w:r w:rsidRPr="00D45A1F">
        <w:rPr>
          <w:sz w:val="20"/>
          <w:szCs w:val="20"/>
          <w:lang w:val="fr-FR"/>
        </w:rPr>
        <w:t xml:space="preserve"> (y compris consultations spécialisées de type ophtalmologie, et les médicaments), </w:t>
      </w:r>
      <w:r w:rsidRPr="00D45A1F">
        <w:rPr>
          <w:b/>
          <w:bCs/>
          <w:sz w:val="20"/>
          <w:szCs w:val="20"/>
          <w:lang w:val="fr-FR"/>
        </w:rPr>
        <w:t>de longue-durée et de proximité</w:t>
      </w:r>
      <w:r w:rsidRPr="00D45A1F">
        <w:rPr>
          <w:sz w:val="20"/>
          <w:szCs w:val="20"/>
          <w:lang w:val="fr-FR"/>
        </w:rPr>
        <w:t xml:space="preserve"> (structures de référence avec un personnel formé). </w:t>
      </w:r>
    </w:p>
    <w:p w14:paraId="45C463AE" w14:textId="51AE9988" w:rsidR="008462CF" w:rsidRPr="00D45A1F" w:rsidRDefault="004C289E" w:rsidP="00D45A1F">
      <w:pPr>
        <w:pStyle w:val="ListParagraph"/>
        <w:numPr>
          <w:ilvl w:val="0"/>
          <w:numId w:val="4"/>
        </w:numPr>
        <w:ind w:right="-720"/>
        <w:jc w:val="both"/>
        <w:rPr>
          <w:sz w:val="20"/>
          <w:szCs w:val="20"/>
          <w:lang w:val="fr-FR"/>
        </w:rPr>
      </w:pPr>
      <w:r w:rsidRPr="00D45A1F">
        <w:rPr>
          <w:sz w:val="20"/>
          <w:szCs w:val="20"/>
          <w:lang w:val="fr-FR"/>
        </w:rPr>
        <w:t>Les guéris qui le souhaite</w:t>
      </w:r>
      <w:r w:rsidR="0058372D" w:rsidRPr="00D45A1F">
        <w:rPr>
          <w:sz w:val="20"/>
          <w:szCs w:val="20"/>
          <w:lang w:val="fr-FR"/>
        </w:rPr>
        <w:t>nt</w:t>
      </w:r>
      <w:r w:rsidRPr="00D45A1F">
        <w:rPr>
          <w:sz w:val="20"/>
          <w:szCs w:val="20"/>
          <w:lang w:val="fr-FR"/>
        </w:rPr>
        <w:t xml:space="preserve"> </w:t>
      </w:r>
      <w:r w:rsidRPr="00D45A1F">
        <w:rPr>
          <w:b/>
          <w:bCs/>
          <w:sz w:val="20"/>
          <w:szCs w:val="20"/>
          <w:lang w:val="fr-FR"/>
        </w:rPr>
        <w:t xml:space="preserve">sont intégrés dans les équipes locales de réponse </w:t>
      </w:r>
      <w:r w:rsidR="0058372D" w:rsidRPr="00D45A1F">
        <w:rPr>
          <w:sz w:val="20"/>
          <w:szCs w:val="20"/>
          <w:lang w:val="fr-FR"/>
        </w:rPr>
        <w:t>selon leurs compétences et</w:t>
      </w:r>
      <w:r w:rsidR="0058372D" w:rsidRPr="00D45A1F">
        <w:rPr>
          <w:b/>
          <w:bCs/>
          <w:sz w:val="20"/>
          <w:szCs w:val="20"/>
          <w:lang w:val="fr-FR"/>
        </w:rPr>
        <w:t xml:space="preserve"> leurs expériences et témoignages, ainsi que ceux des déchargés non-cas, sont utilisés pour communiquer de sur la MVE de manière positive aux communautés</w:t>
      </w:r>
      <w:r w:rsidR="0058372D" w:rsidRPr="00D45A1F">
        <w:rPr>
          <w:sz w:val="20"/>
          <w:szCs w:val="20"/>
          <w:lang w:val="fr-FR"/>
        </w:rPr>
        <w:t xml:space="preserve"> (mais leurs interventions ne sont pas limitées à la communication, ils peuvent aussi intervenir dans les crèches par exemple, comme cela a été le cas lors de l’épidémie du Nord-Kivu et Ituri). </w:t>
      </w:r>
    </w:p>
    <w:p w14:paraId="0070DB1A" w14:textId="0E4BBC8E" w:rsidR="00483A3E" w:rsidRDefault="00483A3E" w:rsidP="00483A3E">
      <w:pPr>
        <w:jc w:val="both"/>
        <w:rPr>
          <w:lang w:val="fr-FR"/>
        </w:rPr>
      </w:pPr>
    </w:p>
    <w:p w14:paraId="23F95063" w14:textId="2BD32A15" w:rsidR="00483A3E" w:rsidRPr="00483A3E" w:rsidRDefault="00483A3E" w:rsidP="00483A3E">
      <w:pPr>
        <w:jc w:val="both"/>
        <w:rPr>
          <w:lang w:val="fr-FR"/>
        </w:rPr>
      </w:pPr>
    </w:p>
    <w:p w14:paraId="3DCB4295" w14:textId="22830E0C" w:rsidR="00483A3E" w:rsidRDefault="00483A3E" w:rsidP="00483A3E">
      <w:pPr>
        <w:jc w:val="both"/>
        <w:rPr>
          <w:lang w:val="fr-FR"/>
        </w:rPr>
      </w:pPr>
    </w:p>
    <w:p w14:paraId="2D88FD88" w14:textId="380A125F" w:rsidR="00483A3E" w:rsidRDefault="00483A3E" w:rsidP="00483A3E">
      <w:pPr>
        <w:jc w:val="both"/>
        <w:rPr>
          <w:lang w:val="fr-FR"/>
        </w:rPr>
      </w:pPr>
    </w:p>
    <w:p w14:paraId="1F1331B5" w14:textId="0BFAB883" w:rsidR="00483A3E" w:rsidRDefault="00483A3E" w:rsidP="00483A3E">
      <w:pPr>
        <w:jc w:val="both"/>
        <w:rPr>
          <w:lang w:val="fr-FR"/>
        </w:rPr>
      </w:pPr>
    </w:p>
    <w:p w14:paraId="06A434FE" w14:textId="24C39AFB" w:rsidR="00483A3E" w:rsidRDefault="00483A3E" w:rsidP="00483A3E">
      <w:pPr>
        <w:jc w:val="both"/>
        <w:rPr>
          <w:lang w:val="fr-FR"/>
        </w:rPr>
      </w:pPr>
    </w:p>
    <w:p w14:paraId="411FB678" w14:textId="5B72CAFE" w:rsidR="00483A3E" w:rsidRDefault="00483A3E" w:rsidP="00483A3E">
      <w:pPr>
        <w:jc w:val="both"/>
        <w:rPr>
          <w:lang w:val="fr-FR"/>
        </w:rPr>
      </w:pPr>
    </w:p>
    <w:p w14:paraId="5C1EF2EC" w14:textId="55E654E8" w:rsidR="00483A3E" w:rsidRDefault="00483A3E" w:rsidP="00483A3E">
      <w:pPr>
        <w:jc w:val="both"/>
        <w:rPr>
          <w:lang w:val="fr-FR"/>
        </w:rPr>
      </w:pPr>
    </w:p>
    <w:p w14:paraId="71E802D8" w14:textId="12C7D81D" w:rsidR="00483A3E" w:rsidRDefault="00D45A1F" w:rsidP="00483A3E">
      <w:pPr>
        <w:jc w:val="both"/>
        <w:rPr>
          <w:lang w:val="fr-FR"/>
        </w:rPr>
      </w:pPr>
      <w:r>
        <w:rPr>
          <w:noProof/>
          <w:lang w:val="fr-FR"/>
        </w:rPr>
        <mc:AlternateContent>
          <mc:Choice Requires="wps">
            <w:drawing>
              <wp:anchor distT="0" distB="0" distL="114300" distR="114300" simplePos="0" relativeHeight="251659264" behindDoc="0" locked="0" layoutInCell="1" allowOverlap="1" wp14:anchorId="17BA88A9" wp14:editId="0DE7E2CA">
                <wp:simplePos x="0" y="0"/>
                <wp:positionH relativeFrom="column">
                  <wp:posOffset>-111318</wp:posOffset>
                </wp:positionH>
                <wp:positionV relativeFrom="paragraph">
                  <wp:posOffset>233708</wp:posOffset>
                </wp:positionV>
                <wp:extent cx="6654883" cy="1538577"/>
                <wp:effectExtent l="0" t="0" r="12700" b="24130"/>
                <wp:wrapNone/>
                <wp:docPr id="2" name="Rectangle 2"/>
                <wp:cNvGraphicFramePr/>
                <a:graphic xmlns:a="http://schemas.openxmlformats.org/drawingml/2006/main">
                  <a:graphicData uri="http://schemas.microsoft.com/office/word/2010/wordprocessingShape">
                    <wps:wsp>
                      <wps:cNvSpPr/>
                      <wps:spPr>
                        <a:xfrm>
                          <a:off x="0" y="0"/>
                          <a:ext cx="6654883" cy="1538577"/>
                        </a:xfrm>
                        <a:prstGeom prst="rect">
                          <a:avLst/>
                        </a:prstGeom>
                        <a:noFill/>
                        <a:ln>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DDC05A" id="Rectangle 2" o:spid="_x0000_s1026" style="position:absolute;margin-left:-8.75pt;margin-top:18.4pt;width:524pt;height:121.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" filled="f" strokecolor="#5b8777 [2409]" strokeweight="1pt"/>
            </w:pict>
          </mc:Fallback>
        </mc:AlternateContent>
      </w:r>
    </w:p>
    <w:p w14:paraId="488F9247" w14:textId="554D3C9D" w:rsidR="00483A3E" w:rsidRPr="00483A3E" w:rsidRDefault="00483A3E" w:rsidP="00D45A1F">
      <w:pPr>
        <w:spacing w:line="240" w:lineRule="auto"/>
        <w:ind w:right="-720"/>
        <w:jc w:val="both"/>
        <w:rPr>
          <w:u w:val="single"/>
          <w:lang w:val="fr-FR"/>
        </w:rPr>
      </w:pPr>
      <w:r w:rsidRPr="00483A3E">
        <w:rPr>
          <w:u w:val="single"/>
          <w:lang w:val="fr-FR"/>
        </w:rPr>
        <w:t>Ressources CASS</w:t>
      </w:r>
      <w:r>
        <w:rPr>
          <w:u w:val="single"/>
          <w:lang w:val="fr-FR"/>
        </w:rPr>
        <w:t xml:space="preserve"> (</w:t>
      </w:r>
      <w:r>
        <w:rPr>
          <w:i/>
          <w:iCs/>
          <w:u w:val="single"/>
          <w:lang w:val="fr-FR"/>
        </w:rPr>
        <w:t>accessibles sur un google drive)</w:t>
      </w:r>
      <w:r w:rsidRPr="00483A3E">
        <w:rPr>
          <w:u w:val="single"/>
          <w:lang w:val="fr-FR"/>
        </w:rPr>
        <w:t xml:space="preserve"> : </w:t>
      </w:r>
    </w:p>
    <w:p w14:paraId="4FEF2DC4" w14:textId="42B717DF" w:rsidR="00483A3E" w:rsidRDefault="00483A3E" w:rsidP="00D45A1F">
      <w:pPr>
        <w:spacing w:line="240" w:lineRule="auto"/>
        <w:ind w:right="-720"/>
        <w:jc w:val="both"/>
        <w:rPr>
          <w:lang w:val="fr-FR"/>
        </w:rPr>
      </w:pPr>
      <w:r w:rsidRPr="00483A3E">
        <w:rPr>
          <w:lang w:val="fr-FR"/>
        </w:rPr>
        <w:t xml:space="preserve">Pour plus de détails, la version intégrée et finalisée de l’analyse sur les guéris menée par la CASS est accessible </w:t>
      </w:r>
      <w:hyperlink r:id="rId8" w:history="1">
        <w:r w:rsidRPr="00483A3E">
          <w:rPr>
            <w:rStyle w:val="Hyperlink"/>
            <w:lang w:val="fr-FR"/>
          </w:rPr>
          <w:t>ici</w:t>
        </w:r>
      </w:hyperlink>
      <w:r w:rsidRPr="00483A3E">
        <w:rPr>
          <w:lang w:val="fr-FR"/>
        </w:rPr>
        <w:t xml:space="preserve">. </w:t>
      </w:r>
    </w:p>
    <w:p w14:paraId="615E213B" w14:textId="5A6813E3" w:rsidR="00483A3E" w:rsidRDefault="00483A3E" w:rsidP="00D45A1F">
      <w:pPr>
        <w:pStyle w:val="FootnoteText"/>
        <w:jc w:val="both"/>
        <w:rPr>
          <w:sz w:val="22"/>
          <w:szCs w:val="22"/>
          <w:lang w:val="fr-FR"/>
        </w:rPr>
      </w:pPr>
      <w:r w:rsidRPr="00483A3E">
        <w:rPr>
          <w:sz w:val="22"/>
          <w:szCs w:val="22"/>
          <w:lang w:val="fr-FR"/>
        </w:rPr>
        <w:t>Pour plus d’information sur le processus de codéveloppement des recommandations de la CASS,</w:t>
      </w:r>
      <w:r>
        <w:rPr>
          <w:sz w:val="22"/>
          <w:szCs w:val="22"/>
          <w:lang w:val="fr-FR"/>
        </w:rPr>
        <w:t xml:space="preserve"> </w:t>
      </w:r>
      <w:r w:rsidRPr="00483A3E">
        <w:rPr>
          <w:sz w:val="22"/>
          <w:szCs w:val="22"/>
          <w:lang w:val="fr-FR"/>
        </w:rPr>
        <w:t xml:space="preserve">consulter la documentation disponible en ligne </w:t>
      </w:r>
      <w:hyperlink r:id="rId9" w:history="1">
        <w:r w:rsidRPr="00483A3E">
          <w:rPr>
            <w:rStyle w:val="Hyperlink"/>
            <w:sz w:val="22"/>
            <w:szCs w:val="22"/>
            <w:lang w:val="fr-FR"/>
          </w:rPr>
          <w:t>ici</w:t>
        </w:r>
      </w:hyperlink>
      <w:r w:rsidRPr="00483A3E">
        <w:rPr>
          <w:sz w:val="22"/>
          <w:szCs w:val="22"/>
          <w:lang w:val="fr-FR"/>
        </w:rPr>
        <w:t xml:space="preserve">. </w:t>
      </w:r>
    </w:p>
    <w:p w14:paraId="3FE18749" w14:textId="77777777" w:rsidR="00483A3E" w:rsidRDefault="00483A3E" w:rsidP="00D45A1F">
      <w:pPr>
        <w:pStyle w:val="FootnoteText"/>
        <w:jc w:val="both"/>
        <w:rPr>
          <w:sz w:val="22"/>
          <w:szCs w:val="22"/>
          <w:lang w:val="fr-FR"/>
        </w:rPr>
      </w:pPr>
    </w:p>
    <w:p w14:paraId="051B8DF2" w14:textId="732DD216" w:rsidR="00483A3E" w:rsidRPr="00483A3E" w:rsidRDefault="00483A3E" w:rsidP="00D45A1F">
      <w:pPr>
        <w:pStyle w:val="FootnoteText"/>
        <w:jc w:val="both"/>
        <w:rPr>
          <w:sz w:val="22"/>
          <w:szCs w:val="22"/>
          <w:lang w:val="fr-FR"/>
        </w:rPr>
      </w:pPr>
      <w:r w:rsidRPr="00483A3E">
        <w:rPr>
          <w:sz w:val="22"/>
          <w:szCs w:val="22"/>
          <w:lang w:val="fr-FR"/>
        </w:rPr>
        <w:t xml:space="preserve">Pour plus d’information sur la méthodologie utilisée par la CASS pour l’analyse des données, consulter la documentation disponible en ligne </w:t>
      </w:r>
      <w:hyperlink r:id="rId10" w:history="1">
        <w:r w:rsidRPr="00483A3E">
          <w:rPr>
            <w:rStyle w:val="Hyperlink"/>
            <w:sz w:val="22"/>
            <w:szCs w:val="22"/>
            <w:lang w:val="fr-FR"/>
          </w:rPr>
          <w:t>ici</w:t>
        </w:r>
      </w:hyperlink>
      <w:r w:rsidRPr="00483A3E">
        <w:rPr>
          <w:sz w:val="22"/>
          <w:szCs w:val="22"/>
          <w:lang w:val="fr-FR"/>
        </w:rPr>
        <w:t>.</w:t>
      </w:r>
    </w:p>
    <w:p w14:paraId="281DBED3" w14:textId="77777777" w:rsidR="00483A3E" w:rsidRPr="00483A3E" w:rsidRDefault="00483A3E" w:rsidP="00483A3E">
      <w:pPr>
        <w:spacing w:line="240" w:lineRule="auto"/>
        <w:ind w:right="-720"/>
        <w:jc w:val="both"/>
        <w:rPr>
          <w:lang w:val="fr-FR"/>
        </w:rPr>
      </w:pPr>
    </w:p>
    <w:p w14:paraId="4D68D7E2" w14:textId="17D1351C" w:rsidR="00483A3E" w:rsidRPr="00483A3E" w:rsidRDefault="00483A3E" w:rsidP="00483A3E">
      <w:pPr>
        <w:jc w:val="both"/>
        <w:rPr>
          <w:lang w:val="fr-FR"/>
        </w:rPr>
      </w:pPr>
    </w:p>
    <w:sectPr w:rsidR="00483A3E" w:rsidRPr="00483A3E" w:rsidSect="00D81ADD">
      <w:headerReference w:type="default" r:id="rId11"/>
      <w:footerReference w:type="default" r:id="rId12"/>
      <w:pgSz w:w="12240" w:h="15840"/>
      <w:pgMar w:top="1440" w:right="1440" w:bottom="1440" w:left="1440" w:header="576"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479281" w14:textId="77777777" w:rsidR="00483A96" w:rsidRDefault="00483A96" w:rsidP="00721EF5">
      <w:pPr>
        <w:spacing w:after="0" w:line="240" w:lineRule="auto"/>
      </w:pPr>
      <w:r>
        <w:separator/>
      </w:r>
    </w:p>
  </w:endnote>
  <w:endnote w:type="continuationSeparator" w:id="0">
    <w:p w14:paraId="7DB42512" w14:textId="77777777" w:rsidR="00483A96" w:rsidRDefault="00483A96" w:rsidP="00721E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381F25" w14:textId="0D11007F" w:rsidR="00D81ADD" w:rsidRDefault="00483A96">
    <w:pPr>
      <w:pStyle w:val="Footer"/>
    </w:pPr>
    <w:sdt>
      <w:sdtPr>
        <w:id w:val="1412889490"/>
        <w:docPartObj>
          <w:docPartGallery w:val="Page Numbers (Bottom of Page)"/>
          <w:docPartUnique/>
        </w:docPartObj>
      </w:sdtPr>
      <w:sdtEndPr>
        <w:rPr>
          <w:noProof/>
        </w:rPr>
      </w:sdtEndPr>
      <w:sdtContent>
        <w:r w:rsidR="00D81ADD" w:rsidRPr="003E72D1">
          <w:rPr>
            <w:noProof/>
            <w:lang w:val="fr-FR" w:eastAsia="fr-FR"/>
          </w:rPr>
          <w:drawing>
            <wp:anchor distT="0" distB="0" distL="114300" distR="114300" simplePos="0" relativeHeight="251658752" behindDoc="0" locked="0" layoutInCell="1" allowOverlap="1" wp14:anchorId="072FBBC8" wp14:editId="4D439E5A">
              <wp:simplePos x="0" y="0"/>
              <wp:positionH relativeFrom="page">
                <wp:posOffset>6316394</wp:posOffset>
              </wp:positionH>
              <wp:positionV relativeFrom="paragraph">
                <wp:posOffset>-197582</wp:posOffset>
              </wp:positionV>
              <wp:extent cx="1258570" cy="464185"/>
              <wp:effectExtent l="0" t="0" r="0" b="0"/>
              <wp:wrapNone/>
              <wp:docPr id="1" name="Picture 61">
                <a:extLst xmlns:a="http://schemas.openxmlformats.org/drawingml/2006/main">
                  <a:ext uri="{FF2B5EF4-FFF2-40B4-BE49-F238E27FC236}">
                    <a16:creationId xmlns:a16="http://schemas.microsoft.com/office/drawing/2014/main" id="{57EFC346-0522-4C0B-961E-0322FF267BE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0" name="Picture 61">
                        <a:extLst>
                          <a:ext uri="{FF2B5EF4-FFF2-40B4-BE49-F238E27FC236}">
                            <a16:creationId xmlns:a16="http://schemas.microsoft.com/office/drawing/2014/main" id="{57EFC346-0522-4C0B-961E-0322FF267BE2}"/>
                          </a:ext>
                        </a:extLst>
                      </pic:cNvPr>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1" r="66962" b="4752"/>
                      <a:stretch/>
                    </pic:blipFill>
                    <pic:spPr bwMode="auto">
                      <a:xfrm>
                        <a:off x="0" y="0"/>
                        <a:ext cx="1258570" cy="46418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81ADD">
          <w:fldChar w:fldCharType="begin"/>
        </w:r>
        <w:r w:rsidR="00D81ADD">
          <w:instrText xml:space="preserve"> PAGE   \* MERGEFORMAT </w:instrText>
        </w:r>
        <w:r w:rsidR="00D81ADD">
          <w:fldChar w:fldCharType="separate"/>
        </w:r>
        <w:r w:rsidR="00FC6EC7">
          <w:rPr>
            <w:noProof/>
          </w:rPr>
          <w:t>1</w:t>
        </w:r>
        <w:r w:rsidR="00D81ADD">
          <w:rPr>
            <w:noProof/>
          </w:rPr>
          <w:fldChar w:fldCharType="end"/>
        </w:r>
      </w:sdtContent>
    </w:sdt>
    <w:r w:rsidR="004638F7">
      <w:rPr>
        <w:noProof/>
      </w:rPr>
      <w:tab/>
    </w:r>
    <w:r w:rsidR="004638F7" w:rsidRPr="004638F7">
      <w:rPr>
        <w:noProof/>
        <w:sz w:val="20"/>
        <w:szCs w:val="20"/>
      </w:rPr>
      <w:t>26 mars 2020</w:t>
    </w:r>
  </w:p>
  <w:p w14:paraId="400FD025" w14:textId="77777777" w:rsidR="00D81ADD" w:rsidRDefault="00D81A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46A70F" w14:textId="77777777" w:rsidR="00483A96" w:rsidRDefault="00483A96" w:rsidP="00721EF5">
      <w:pPr>
        <w:spacing w:after="0" w:line="240" w:lineRule="auto"/>
      </w:pPr>
      <w:r>
        <w:separator/>
      </w:r>
    </w:p>
  </w:footnote>
  <w:footnote w:type="continuationSeparator" w:id="0">
    <w:p w14:paraId="1FE86738" w14:textId="77777777" w:rsidR="00483A96" w:rsidRDefault="00483A96" w:rsidP="00721EF5">
      <w:pPr>
        <w:spacing w:after="0" w:line="240" w:lineRule="auto"/>
      </w:pPr>
      <w:r>
        <w:continuationSeparator/>
      </w:r>
    </w:p>
  </w:footnote>
  <w:footnote w:id="1">
    <w:p w14:paraId="361ED377" w14:textId="77777777" w:rsidR="00721EF5" w:rsidRPr="00B567E7" w:rsidRDefault="00721EF5">
      <w:pPr>
        <w:pStyle w:val="FootnoteText"/>
        <w:rPr>
          <w:sz w:val="18"/>
          <w:lang w:val="fr-FR"/>
        </w:rPr>
      </w:pPr>
      <w:r w:rsidRPr="00B567E7">
        <w:rPr>
          <w:rStyle w:val="FootnoteReference"/>
          <w:sz w:val="18"/>
        </w:rPr>
        <w:footnoteRef/>
      </w:r>
      <w:r w:rsidRPr="00B567E7">
        <w:rPr>
          <w:sz w:val="18"/>
          <w:lang w:val="fr-FR"/>
        </w:rPr>
        <w:t xml:space="preserve"> Toutes les études de la CASS sont validées et approuvées par la coordination stratégique. </w:t>
      </w:r>
      <w:r w:rsidR="00B567E7">
        <w:rPr>
          <w:sz w:val="18"/>
          <w:lang w:val="fr-FR"/>
        </w:rPr>
        <w:t xml:space="preserve">Les études de la CASS, y compris les données, sont la propriété du Ministère de la santé congolais. </w:t>
      </w:r>
    </w:p>
  </w:footnote>
  <w:footnote w:id="2">
    <w:p w14:paraId="57A33DDE" w14:textId="77777777" w:rsidR="00721EF5" w:rsidRPr="00B567E7" w:rsidRDefault="00721EF5">
      <w:pPr>
        <w:pStyle w:val="FootnoteText"/>
        <w:rPr>
          <w:sz w:val="18"/>
          <w:lang w:val="fr-FR"/>
        </w:rPr>
      </w:pPr>
      <w:r w:rsidRPr="00B567E7">
        <w:rPr>
          <w:rStyle w:val="FootnoteReference"/>
          <w:sz w:val="18"/>
        </w:rPr>
        <w:footnoteRef/>
      </w:r>
      <w:r w:rsidRPr="00B567E7">
        <w:rPr>
          <w:sz w:val="18"/>
          <w:lang w:val="fr-FR"/>
        </w:rPr>
        <w:t xml:space="preserve"> Dans ce document, les personnes guéries de la MVE seront désignées par le terme « guéris ». Ceci ne reflète pas une position de la CASS ou d’UNICEF en faveur de l’utilisation de ce terme.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25EE9" w14:textId="58C0950E" w:rsidR="0068624B" w:rsidRDefault="00483A3E">
    <w:pPr>
      <w:pStyle w:val="Header"/>
    </w:pPr>
    <w:r w:rsidRPr="00D81ADD">
      <w:rPr>
        <w:noProof/>
        <w:lang w:val="fr-FR" w:eastAsia="fr-FR"/>
      </w:rPr>
      <mc:AlternateContent>
        <mc:Choice Requires="wps">
          <w:drawing>
            <wp:anchor distT="0" distB="0" distL="114300" distR="114300" simplePos="0" relativeHeight="251655680" behindDoc="0" locked="0" layoutInCell="1" allowOverlap="1" wp14:anchorId="4F838141" wp14:editId="5D5FA20A">
              <wp:simplePos x="0" y="0"/>
              <wp:positionH relativeFrom="page">
                <wp:posOffset>0</wp:posOffset>
              </wp:positionH>
              <wp:positionV relativeFrom="paragraph">
                <wp:posOffset>-21883</wp:posOffset>
              </wp:positionV>
              <wp:extent cx="7772400" cy="307340"/>
              <wp:effectExtent l="0" t="0" r="0" b="0"/>
              <wp:wrapNone/>
              <wp:docPr id="3" name="Footer Placeholder 4"/>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7772400" cy="307340"/>
                      </a:xfrm>
                      <a:prstGeom prst="rect">
                        <a:avLst/>
                      </a:prstGeom>
                      <a:solidFill>
                        <a:schemeClr val="accent4">
                          <a:lumMod val="60000"/>
                          <a:lumOff val="40000"/>
                        </a:schemeClr>
                      </a:solidFill>
                    </wps:spPr>
                    <wps:txbx>
                      <w:txbxContent>
                        <w:p w14:paraId="029F1536" w14:textId="77777777" w:rsidR="00D81ADD" w:rsidRPr="00652620" w:rsidRDefault="00D81ADD" w:rsidP="00D81ADD">
                          <w:pPr>
                            <w:spacing w:after="0"/>
                            <w:ind w:left="720"/>
                            <w:jc w:val="center"/>
                            <w:rPr>
                              <w:lang w:val="fr-FR"/>
                            </w:rPr>
                          </w:pPr>
                          <w:r w:rsidRPr="00652620">
                            <w:rPr>
                              <w:rFonts w:hAnsi="Calibri Light"/>
                              <w:b/>
                              <w:bCs/>
                              <w:color w:val="FFFFFF" w:themeColor="background1"/>
                              <w:kern w:val="24"/>
                              <w:sz w:val="28"/>
                              <w:szCs w:val="28"/>
                              <w:lang w:val="fr-FR"/>
                            </w:rPr>
                            <w:t>CELLULE D’ANALYSE EN SCIENCES SOCIALES (</w:t>
                          </w:r>
                          <w:r>
                            <w:rPr>
                              <w:rFonts w:hAnsi="Calibri Light"/>
                              <w:b/>
                              <w:bCs/>
                              <w:color w:val="FFFFFF" w:themeColor="background1"/>
                              <w:kern w:val="24"/>
                              <w:sz w:val="28"/>
                              <w:szCs w:val="28"/>
                              <w:lang w:val="fr-FR"/>
                            </w:rPr>
                            <w:t>CASS) </w:t>
                          </w:r>
                        </w:p>
                      </w:txbxContent>
                    </wps:txbx>
                    <wps:bodyPr vert="horz"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w:pict>
            <v:rect w14:anchorId="4F838141" id="Footer Placeholder 4" o:spid="_x0000_s1026" style="position:absolute;margin-left:0;margin-top:-1.7pt;width:612pt;height:24.2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" fillcolor="#a1acb9 [1943]" stroked="f">
              <o:lock v:ext="edit" grouping="t"/>
              <v:textbox>
                <w:txbxContent>
                  <w:p w14:paraId="029F1536" w14:textId="77777777" w:rsidR="00D81ADD" w:rsidRPr="00652620" w:rsidRDefault="00D81ADD" w:rsidP="00D81ADD">
                    <w:pPr>
                      <w:spacing w:after="0"/>
                      <w:ind w:left="720"/>
                      <w:jc w:val="center"/>
                      <w:rPr>
                        <w:lang w:val="fr-FR"/>
                      </w:rPr>
                    </w:pPr>
                    <w:r w:rsidRPr="00652620">
                      <w:rPr>
                        <w:rFonts w:hAnsi="Calibri Light"/>
                        <w:b/>
                        <w:bCs/>
                        <w:color w:val="FFFFFF" w:themeColor="background1"/>
                        <w:kern w:val="24"/>
                        <w:sz w:val="28"/>
                        <w:szCs w:val="28"/>
                        <w:lang w:val="fr-FR"/>
                      </w:rPr>
                      <w:t>CELLULE D’ANALYSE EN SCIENCES SOCIALES (</w:t>
                    </w:r>
                    <w:r>
                      <w:rPr>
                        <w:rFonts w:hAnsi="Calibri Light"/>
                        <w:b/>
                        <w:bCs/>
                        <w:color w:val="FFFFFF" w:themeColor="background1"/>
                        <w:kern w:val="24"/>
                        <w:sz w:val="28"/>
                        <w:szCs w:val="28"/>
                        <w:lang w:val="fr-FR"/>
                      </w:rPr>
                      <w:t>CASS) </w:t>
                    </w:r>
                  </w:p>
                </w:txbxContent>
              </v:textbox>
              <w10:wrap anchorx="page"/>
            </v:rect>
          </w:pict>
        </mc:Fallback>
      </mc:AlternateContent>
    </w:r>
    <w:r w:rsidR="00D81ADD" w:rsidRPr="00D81ADD">
      <w:rPr>
        <w:noProof/>
        <w:lang w:val="fr-FR" w:eastAsia="fr-FR"/>
      </w:rPr>
      <w:drawing>
        <wp:anchor distT="0" distB="0" distL="114300" distR="114300" simplePos="0" relativeHeight="251656704" behindDoc="0" locked="0" layoutInCell="1" allowOverlap="1" wp14:anchorId="2E28DAC5" wp14:editId="18F4534B">
          <wp:simplePos x="0" y="0"/>
          <wp:positionH relativeFrom="leftMargin">
            <wp:align>right</wp:align>
          </wp:positionH>
          <wp:positionV relativeFrom="paragraph">
            <wp:posOffset>-369228</wp:posOffset>
          </wp:positionV>
          <wp:extent cx="873125" cy="744855"/>
          <wp:effectExtent l="0" t="0" r="3175" b="0"/>
          <wp:wrapNone/>
          <wp:docPr id="4" name="Picture 5">
            <a:extLst xmlns:a="http://schemas.openxmlformats.org/drawingml/2006/main">
              <a:ext uri="{FF2B5EF4-FFF2-40B4-BE49-F238E27FC236}">
                <a16:creationId xmlns:a16="http://schemas.microsoft.com/office/drawing/2014/main" id="{92B8BCBE-1C78-4043-A6E3-20C283C95EB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a16="http://schemas.microsoft.com/office/drawing/2014/main" id="{92B8BCBE-1C78-4043-A6E3-20C283C95EBE}"/>
                      </a:ext>
                    </a:extLst>
                  </pic:cNvPr>
                  <pic:cNvPicPr>
                    <a:picLocks noChangeAspect="1" noChangeArrowheads="1"/>
                  </pic:cNvPicPr>
                </pic:nvPicPr>
                <pic:blipFill rotWithShape="1">
                  <a:blip r:embed="rId1" cstate="email">
                    <a:extLst>
                      <a:ext uri="{28A0092B-C50C-407E-A947-70E740481C1C}">
                        <a14:useLocalDpi xmlns:a14="http://schemas.microsoft.com/office/drawing/2010/main"/>
                      </a:ext>
                    </a:extLst>
                  </a:blip>
                  <a:srcRect r="70689" b="3946"/>
                  <a:stretch/>
                </pic:blipFill>
                <pic:spPr bwMode="auto">
                  <a:xfrm>
                    <a:off x="0" y="0"/>
                    <a:ext cx="873125" cy="744855"/>
                  </a:xfrm>
                  <a:prstGeom prst="rect">
                    <a:avLst/>
                  </a:prstGeom>
                  <a:noFill/>
                </pic:spPr>
              </pic:pic>
            </a:graphicData>
          </a:graphic>
          <wp14:sizeRelH relativeFrom="margin">
            <wp14:pctWidth>0</wp14:pctWidth>
          </wp14:sizeRelH>
          <wp14:sizeRelV relativeFrom="margin">
            <wp14:pctHeight>0</wp14:pctHeight>
          </wp14:sizeRelV>
        </wp:anchor>
      </w:drawing>
    </w:r>
    <w:r w:rsidR="00D81ADD" w:rsidRPr="00D81ADD">
      <w:rPr>
        <w:noProof/>
        <w:lang w:val="fr-FR" w:eastAsia="fr-FR"/>
      </w:rPr>
      <w:drawing>
        <wp:anchor distT="0" distB="0" distL="114300" distR="114300" simplePos="0" relativeHeight="251657728" behindDoc="0" locked="0" layoutInCell="1" allowOverlap="1" wp14:anchorId="13D22E6E" wp14:editId="014BFCF8">
          <wp:simplePos x="0" y="0"/>
          <wp:positionH relativeFrom="page">
            <wp:posOffset>8737600</wp:posOffset>
          </wp:positionH>
          <wp:positionV relativeFrom="paragraph">
            <wp:posOffset>-457200</wp:posOffset>
          </wp:positionV>
          <wp:extent cx="1301750" cy="524510"/>
          <wp:effectExtent l="0" t="0" r="0" b="0"/>
          <wp:wrapNone/>
          <wp:docPr id="7" name="Picture 61">
            <a:extLst xmlns:a="http://schemas.openxmlformats.org/drawingml/2006/main">
              <a:ext uri="{FF2B5EF4-FFF2-40B4-BE49-F238E27FC236}">
                <a16:creationId xmlns:a16="http://schemas.microsoft.com/office/drawing/2014/main" id="{57EFC346-0522-4C0B-961E-0322FF267BE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0" name="Picture 61">
                    <a:extLst>
                      <a:ext uri="{FF2B5EF4-FFF2-40B4-BE49-F238E27FC236}">
                        <a16:creationId xmlns:a16="http://schemas.microsoft.com/office/drawing/2014/main" id="{57EFC346-0522-4C0B-961E-0322FF267BE2}"/>
                      </a:ext>
                    </a:extLst>
                  </pic:cNvPr>
                  <pic:cNvPicPr>
                    <a:picLocks noChangeAspect="1" noChangeArrowheads="1"/>
                  </pic:cNvPicPr>
                </pic:nvPicPr>
                <pic:blipFill>
                  <a:blip r:embed="rId2" cstate="print">
                    <a:extLst>
                      <a:ext uri="{28A0092B-C50C-407E-A947-70E740481C1C}">
                        <a14:useLocalDpi xmlns:a14="http://schemas.microsoft.com/office/drawing/2010/main" val="0"/>
                      </a:ext>
                    </a:extLst>
                  </a:blip>
                  <a:srcRect t="2" r="65842" b="-7616"/>
                  <a:stretch>
                    <a:fillRect/>
                  </a:stretch>
                </pic:blipFill>
                <pic:spPr bwMode="auto">
                  <a:xfrm>
                    <a:off x="0" y="0"/>
                    <a:ext cx="1301750" cy="52451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296B9F"/>
    <w:multiLevelType w:val="hybridMultilevel"/>
    <w:tmpl w:val="E85A795E"/>
    <w:lvl w:ilvl="0" w:tplc="0409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23484064"/>
    <w:multiLevelType w:val="hybridMultilevel"/>
    <w:tmpl w:val="D1206AB2"/>
    <w:lvl w:ilvl="0" w:tplc="04090011">
      <w:start w:val="1"/>
      <w:numFmt w:val="decimal"/>
      <w:lvlText w:val="%1)"/>
      <w:lvlJc w:val="left"/>
      <w:pPr>
        <w:ind w:left="-216" w:hanging="360"/>
      </w:pPr>
      <w:rPr>
        <w:rFonts w:hint="default"/>
      </w:rPr>
    </w:lvl>
    <w:lvl w:ilvl="1" w:tplc="04090019" w:tentative="1">
      <w:start w:val="1"/>
      <w:numFmt w:val="lowerLetter"/>
      <w:lvlText w:val="%2."/>
      <w:lvlJc w:val="left"/>
      <w:pPr>
        <w:ind w:left="504" w:hanging="360"/>
      </w:pPr>
    </w:lvl>
    <w:lvl w:ilvl="2" w:tplc="0409001B" w:tentative="1">
      <w:start w:val="1"/>
      <w:numFmt w:val="lowerRoman"/>
      <w:lvlText w:val="%3."/>
      <w:lvlJc w:val="right"/>
      <w:pPr>
        <w:ind w:left="1224" w:hanging="180"/>
      </w:pPr>
    </w:lvl>
    <w:lvl w:ilvl="3" w:tplc="0409000F" w:tentative="1">
      <w:start w:val="1"/>
      <w:numFmt w:val="decimal"/>
      <w:lvlText w:val="%4."/>
      <w:lvlJc w:val="left"/>
      <w:pPr>
        <w:ind w:left="1944" w:hanging="360"/>
      </w:pPr>
    </w:lvl>
    <w:lvl w:ilvl="4" w:tplc="04090019" w:tentative="1">
      <w:start w:val="1"/>
      <w:numFmt w:val="lowerLetter"/>
      <w:lvlText w:val="%5."/>
      <w:lvlJc w:val="left"/>
      <w:pPr>
        <w:ind w:left="2664" w:hanging="360"/>
      </w:pPr>
    </w:lvl>
    <w:lvl w:ilvl="5" w:tplc="0409001B" w:tentative="1">
      <w:start w:val="1"/>
      <w:numFmt w:val="lowerRoman"/>
      <w:lvlText w:val="%6."/>
      <w:lvlJc w:val="right"/>
      <w:pPr>
        <w:ind w:left="3384" w:hanging="180"/>
      </w:pPr>
    </w:lvl>
    <w:lvl w:ilvl="6" w:tplc="0409000F" w:tentative="1">
      <w:start w:val="1"/>
      <w:numFmt w:val="decimal"/>
      <w:lvlText w:val="%7."/>
      <w:lvlJc w:val="left"/>
      <w:pPr>
        <w:ind w:left="4104" w:hanging="360"/>
      </w:pPr>
    </w:lvl>
    <w:lvl w:ilvl="7" w:tplc="04090019" w:tentative="1">
      <w:start w:val="1"/>
      <w:numFmt w:val="lowerLetter"/>
      <w:lvlText w:val="%8."/>
      <w:lvlJc w:val="left"/>
      <w:pPr>
        <w:ind w:left="4824" w:hanging="360"/>
      </w:pPr>
    </w:lvl>
    <w:lvl w:ilvl="8" w:tplc="0409001B" w:tentative="1">
      <w:start w:val="1"/>
      <w:numFmt w:val="lowerRoman"/>
      <w:lvlText w:val="%9."/>
      <w:lvlJc w:val="right"/>
      <w:pPr>
        <w:ind w:left="5544" w:hanging="180"/>
      </w:pPr>
    </w:lvl>
  </w:abstractNum>
  <w:abstractNum w:abstractNumId="2" w15:restartNumberingAfterBreak="0">
    <w:nsid w:val="301557F4"/>
    <w:multiLevelType w:val="hybridMultilevel"/>
    <w:tmpl w:val="720823A4"/>
    <w:lvl w:ilvl="0" w:tplc="4FB8D56E">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2F86615"/>
    <w:multiLevelType w:val="hybridMultilevel"/>
    <w:tmpl w:val="C0669C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EF5"/>
    <w:rsid w:val="00097ADB"/>
    <w:rsid w:val="001B6771"/>
    <w:rsid w:val="001D3CC5"/>
    <w:rsid w:val="00251175"/>
    <w:rsid w:val="002C5C6B"/>
    <w:rsid w:val="002F0310"/>
    <w:rsid w:val="002F30AE"/>
    <w:rsid w:val="00304E51"/>
    <w:rsid w:val="003735B3"/>
    <w:rsid w:val="004454D1"/>
    <w:rsid w:val="004638F7"/>
    <w:rsid w:val="00483A3E"/>
    <w:rsid w:val="00483A96"/>
    <w:rsid w:val="004C289E"/>
    <w:rsid w:val="0058372D"/>
    <w:rsid w:val="00600668"/>
    <w:rsid w:val="00640482"/>
    <w:rsid w:val="00660D2E"/>
    <w:rsid w:val="0068624B"/>
    <w:rsid w:val="006D08B8"/>
    <w:rsid w:val="00721EF5"/>
    <w:rsid w:val="008462CF"/>
    <w:rsid w:val="00987EFA"/>
    <w:rsid w:val="00A966F7"/>
    <w:rsid w:val="00AC569F"/>
    <w:rsid w:val="00AE56F9"/>
    <w:rsid w:val="00B410D2"/>
    <w:rsid w:val="00B567E7"/>
    <w:rsid w:val="00B9538F"/>
    <w:rsid w:val="00C136B5"/>
    <w:rsid w:val="00C3005A"/>
    <w:rsid w:val="00C624C5"/>
    <w:rsid w:val="00CA7C8B"/>
    <w:rsid w:val="00CC1920"/>
    <w:rsid w:val="00CC3C8D"/>
    <w:rsid w:val="00D45A1F"/>
    <w:rsid w:val="00D81ADD"/>
    <w:rsid w:val="00DC0E6A"/>
    <w:rsid w:val="00E55934"/>
    <w:rsid w:val="00EC376D"/>
    <w:rsid w:val="00EE3E59"/>
    <w:rsid w:val="00F61499"/>
    <w:rsid w:val="00FC6EC7"/>
    <w:rsid w:val="00FF17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C22C44"/>
  <w15:docId w15:val="{5EBCF0CF-7524-438E-B285-6CC24CF18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21EF5"/>
    <w:pPr>
      <w:keepNext/>
      <w:keepLines/>
      <w:spacing w:before="240" w:after="0"/>
      <w:outlineLvl w:val="0"/>
    </w:pPr>
    <w:rPr>
      <w:rFonts w:asciiTheme="majorHAnsi" w:eastAsiaTheme="majorEastAsia" w:hAnsiTheme="majorHAnsi" w:cstheme="majorBidi"/>
      <w:color w:val="328D9F" w:themeColor="accent1" w:themeShade="BF"/>
      <w:sz w:val="32"/>
      <w:szCs w:val="32"/>
    </w:rPr>
  </w:style>
  <w:style w:type="paragraph" w:styleId="Heading2">
    <w:name w:val="heading 2"/>
    <w:basedOn w:val="Normal"/>
    <w:next w:val="Normal"/>
    <w:link w:val="Heading2Char"/>
    <w:uiPriority w:val="9"/>
    <w:unhideWhenUsed/>
    <w:qFormat/>
    <w:rsid w:val="00987EFA"/>
    <w:pPr>
      <w:keepNext/>
      <w:keepLines/>
      <w:spacing w:before="40" w:after="0"/>
      <w:outlineLvl w:val="1"/>
    </w:pPr>
    <w:rPr>
      <w:rFonts w:asciiTheme="majorHAnsi" w:eastAsiaTheme="majorEastAsia" w:hAnsiTheme="majorHAnsi" w:cstheme="majorBidi"/>
      <w:color w:val="328D9F"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1EF5"/>
    <w:rPr>
      <w:rFonts w:asciiTheme="majorHAnsi" w:eastAsiaTheme="majorEastAsia" w:hAnsiTheme="majorHAnsi" w:cstheme="majorBidi"/>
      <w:color w:val="328D9F" w:themeColor="accent1" w:themeShade="BF"/>
      <w:sz w:val="32"/>
      <w:szCs w:val="32"/>
    </w:rPr>
  </w:style>
  <w:style w:type="paragraph" w:styleId="FootnoteText">
    <w:name w:val="footnote text"/>
    <w:basedOn w:val="Normal"/>
    <w:link w:val="FootnoteTextChar"/>
    <w:uiPriority w:val="99"/>
    <w:unhideWhenUsed/>
    <w:rsid w:val="00721EF5"/>
    <w:pPr>
      <w:spacing w:after="0" w:line="240" w:lineRule="auto"/>
    </w:pPr>
    <w:rPr>
      <w:sz w:val="20"/>
      <w:szCs w:val="20"/>
    </w:rPr>
  </w:style>
  <w:style w:type="character" w:customStyle="1" w:styleId="FootnoteTextChar">
    <w:name w:val="Footnote Text Char"/>
    <w:basedOn w:val="DefaultParagraphFont"/>
    <w:link w:val="FootnoteText"/>
    <w:uiPriority w:val="99"/>
    <w:rsid w:val="00721EF5"/>
    <w:rPr>
      <w:sz w:val="20"/>
      <w:szCs w:val="20"/>
    </w:rPr>
  </w:style>
  <w:style w:type="character" w:styleId="FootnoteReference">
    <w:name w:val="footnote reference"/>
    <w:basedOn w:val="DefaultParagraphFont"/>
    <w:uiPriority w:val="99"/>
    <w:semiHidden/>
    <w:unhideWhenUsed/>
    <w:rsid w:val="00721EF5"/>
    <w:rPr>
      <w:vertAlign w:val="superscript"/>
    </w:rPr>
  </w:style>
  <w:style w:type="character" w:customStyle="1" w:styleId="Heading2Char">
    <w:name w:val="Heading 2 Char"/>
    <w:basedOn w:val="DefaultParagraphFont"/>
    <w:link w:val="Heading2"/>
    <w:uiPriority w:val="9"/>
    <w:rsid w:val="00987EFA"/>
    <w:rPr>
      <w:rFonts w:asciiTheme="majorHAnsi" w:eastAsiaTheme="majorEastAsia" w:hAnsiTheme="majorHAnsi" w:cstheme="majorBidi"/>
      <w:color w:val="328D9F" w:themeColor="accent1" w:themeShade="BF"/>
      <w:sz w:val="26"/>
      <w:szCs w:val="26"/>
    </w:rPr>
  </w:style>
  <w:style w:type="character" w:styleId="Hyperlink">
    <w:name w:val="Hyperlink"/>
    <w:basedOn w:val="DefaultParagraphFont"/>
    <w:uiPriority w:val="99"/>
    <w:unhideWhenUsed/>
    <w:rsid w:val="00251175"/>
    <w:rPr>
      <w:color w:val="2370CD" w:themeColor="hyperlink"/>
      <w:u w:val="single"/>
    </w:rPr>
  </w:style>
  <w:style w:type="character" w:customStyle="1" w:styleId="UnresolvedMention1">
    <w:name w:val="Unresolved Mention1"/>
    <w:basedOn w:val="DefaultParagraphFont"/>
    <w:uiPriority w:val="99"/>
    <w:semiHidden/>
    <w:unhideWhenUsed/>
    <w:rsid w:val="00251175"/>
    <w:rPr>
      <w:color w:val="605E5C"/>
      <w:shd w:val="clear" w:color="auto" w:fill="E1DFDD"/>
    </w:rPr>
  </w:style>
  <w:style w:type="paragraph" w:styleId="ListParagraph">
    <w:name w:val="List Paragraph"/>
    <w:basedOn w:val="Normal"/>
    <w:uiPriority w:val="34"/>
    <w:qFormat/>
    <w:rsid w:val="002C5C6B"/>
    <w:pPr>
      <w:ind w:left="720"/>
      <w:contextualSpacing/>
    </w:pPr>
  </w:style>
  <w:style w:type="table" w:styleId="TableGrid">
    <w:name w:val="Table Grid"/>
    <w:basedOn w:val="TableNormal"/>
    <w:uiPriority w:val="39"/>
    <w:rsid w:val="00CC3C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CC3C8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862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624B"/>
  </w:style>
  <w:style w:type="paragraph" w:styleId="Footer">
    <w:name w:val="footer"/>
    <w:basedOn w:val="Normal"/>
    <w:link w:val="FooterChar"/>
    <w:uiPriority w:val="99"/>
    <w:unhideWhenUsed/>
    <w:rsid w:val="006862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624B"/>
  </w:style>
  <w:style w:type="character" w:styleId="CommentReference">
    <w:name w:val="annotation reference"/>
    <w:basedOn w:val="DefaultParagraphFont"/>
    <w:uiPriority w:val="99"/>
    <w:semiHidden/>
    <w:unhideWhenUsed/>
    <w:rsid w:val="00E55934"/>
    <w:rPr>
      <w:sz w:val="16"/>
      <w:szCs w:val="16"/>
    </w:rPr>
  </w:style>
  <w:style w:type="paragraph" w:styleId="CommentText">
    <w:name w:val="annotation text"/>
    <w:basedOn w:val="Normal"/>
    <w:link w:val="CommentTextChar"/>
    <w:uiPriority w:val="99"/>
    <w:semiHidden/>
    <w:unhideWhenUsed/>
    <w:rsid w:val="00E55934"/>
    <w:pPr>
      <w:spacing w:line="240" w:lineRule="auto"/>
    </w:pPr>
    <w:rPr>
      <w:sz w:val="20"/>
      <w:szCs w:val="20"/>
    </w:rPr>
  </w:style>
  <w:style w:type="character" w:customStyle="1" w:styleId="CommentTextChar">
    <w:name w:val="Comment Text Char"/>
    <w:basedOn w:val="DefaultParagraphFont"/>
    <w:link w:val="CommentText"/>
    <w:uiPriority w:val="99"/>
    <w:semiHidden/>
    <w:rsid w:val="00E55934"/>
    <w:rPr>
      <w:sz w:val="20"/>
      <w:szCs w:val="20"/>
    </w:rPr>
  </w:style>
  <w:style w:type="paragraph" w:styleId="CommentSubject">
    <w:name w:val="annotation subject"/>
    <w:basedOn w:val="CommentText"/>
    <w:next w:val="CommentText"/>
    <w:link w:val="CommentSubjectChar"/>
    <w:uiPriority w:val="99"/>
    <w:semiHidden/>
    <w:unhideWhenUsed/>
    <w:rsid w:val="00E55934"/>
    <w:rPr>
      <w:b/>
      <w:bCs/>
    </w:rPr>
  </w:style>
  <w:style w:type="character" w:customStyle="1" w:styleId="CommentSubjectChar">
    <w:name w:val="Comment Subject Char"/>
    <w:basedOn w:val="CommentTextChar"/>
    <w:link w:val="CommentSubject"/>
    <w:uiPriority w:val="99"/>
    <w:semiHidden/>
    <w:rsid w:val="00E55934"/>
    <w:rPr>
      <w:b/>
      <w:bCs/>
      <w:sz w:val="20"/>
      <w:szCs w:val="20"/>
    </w:rPr>
  </w:style>
  <w:style w:type="paragraph" w:styleId="BalloonText">
    <w:name w:val="Balloon Text"/>
    <w:basedOn w:val="Normal"/>
    <w:link w:val="BalloonTextChar"/>
    <w:uiPriority w:val="99"/>
    <w:semiHidden/>
    <w:unhideWhenUsed/>
    <w:rsid w:val="00E559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5934"/>
    <w:rPr>
      <w:rFonts w:ascii="Tahoma" w:hAnsi="Tahoma" w:cs="Tahoma"/>
      <w:sz w:val="16"/>
      <w:szCs w:val="16"/>
    </w:rPr>
  </w:style>
  <w:style w:type="character" w:styleId="UnresolvedMention">
    <w:name w:val="Unresolved Mention"/>
    <w:basedOn w:val="DefaultParagraphFont"/>
    <w:uiPriority w:val="99"/>
    <w:semiHidden/>
    <w:unhideWhenUsed/>
    <w:rsid w:val="00C300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9074865">
      <w:bodyDiv w:val="1"/>
      <w:marLeft w:val="0"/>
      <w:marRight w:val="0"/>
      <w:marTop w:val="0"/>
      <w:marBottom w:val="0"/>
      <w:divBdr>
        <w:top w:val="none" w:sz="0" w:space="0" w:color="auto"/>
        <w:left w:val="none" w:sz="0" w:space="0" w:color="auto"/>
        <w:bottom w:val="none" w:sz="0" w:space="0" w:color="auto"/>
        <w:right w:val="none" w:sz="0" w:space="0" w:color="auto"/>
      </w:divBdr>
    </w:div>
    <w:div w:id="1434934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open?id=1kqt3t25Yv3R-d8gpZXvKMxEM9TgvX06j"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drive.google.com/open?id=1TMZPYkqejXVKN7cVe3olKv9zK-7jaeee" TargetMode="External"/><Relationship Id="rId4" Type="http://schemas.openxmlformats.org/officeDocument/2006/relationships/settings" Target="settings.xml"/><Relationship Id="rId9" Type="http://schemas.openxmlformats.org/officeDocument/2006/relationships/hyperlink" Target="https://drive.google.com/open?id=1hDP3UgEEJhpyVvBBux7spSxn4qZt13jx"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etropolitan">
  <a:themeElements>
    <a:clrScheme name="Metropolitan">
      <a:dk1>
        <a:sysClr val="windowText" lastClr="000000"/>
      </a:dk1>
      <a:lt1>
        <a:sysClr val="window" lastClr="FFFFFF"/>
      </a:lt1>
      <a:dk2>
        <a:srgbClr val="162F33"/>
      </a:dk2>
      <a:lt2>
        <a:srgbClr val="EAF0E0"/>
      </a:lt2>
      <a:accent1>
        <a:srgbClr val="50B4C8"/>
      </a:accent1>
      <a:accent2>
        <a:srgbClr val="A8B97F"/>
      </a:accent2>
      <a:accent3>
        <a:srgbClr val="9B9256"/>
      </a:accent3>
      <a:accent4>
        <a:srgbClr val="657689"/>
      </a:accent4>
      <a:accent5>
        <a:srgbClr val="7A855D"/>
      </a:accent5>
      <a:accent6>
        <a:srgbClr val="84AC9D"/>
      </a:accent6>
      <a:hlink>
        <a:srgbClr val="2370CD"/>
      </a:hlink>
      <a:folHlink>
        <a:srgbClr val="877589"/>
      </a:folHlink>
    </a:clrScheme>
    <a:fontScheme name="Metropolitan">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Metropolitan">
      <a:fillStyleLst>
        <a:solidFill>
          <a:schemeClr val="phClr"/>
        </a:solidFill>
        <a:gradFill rotWithShape="1">
          <a:gsLst>
            <a:gs pos="0">
              <a:schemeClr val="phClr">
                <a:tint val="70000"/>
                <a:satMod val="100000"/>
                <a:lumMod val="110000"/>
              </a:schemeClr>
            </a:gs>
            <a:gs pos="50000">
              <a:schemeClr val="phClr">
                <a:tint val="75000"/>
                <a:satMod val="101000"/>
                <a:lumMod val="105000"/>
              </a:schemeClr>
            </a:gs>
            <a:gs pos="100000">
              <a:schemeClr val="phClr">
                <a:tint val="82000"/>
                <a:satMod val="104000"/>
                <a:lumMod val="105000"/>
              </a:schemeClr>
            </a:gs>
          </a:gsLst>
          <a:lin ang="2700000" scaled="0"/>
        </a:gradFill>
        <a:gradFill rotWithShape="1">
          <a:gsLst>
            <a:gs pos="0">
              <a:schemeClr val="phClr">
                <a:tint val="97000"/>
                <a:satMod val="100000"/>
                <a:lumMod val="102000"/>
              </a:schemeClr>
            </a:gs>
            <a:gs pos="50000">
              <a:schemeClr val="phClr">
                <a:shade val="100000"/>
                <a:satMod val="100000"/>
                <a:lumMod val="100000"/>
              </a:schemeClr>
            </a:gs>
            <a:gs pos="100000">
              <a:schemeClr val="phClr">
                <a:shade val="80000"/>
                <a:satMod val="100000"/>
                <a:lumMod val="99000"/>
              </a:schemeClr>
            </a:gs>
          </a:gsLst>
          <a:lin ang="27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solidFill>
          <a:schemeClr val="phClr">
            <a:shade val="95000"/>
            <a:satMod val="170000"/>
          </a:schemeClr>
        </a:solidFill>
      </a:bgFillStyleLst>
    </a:fmtScheme>
  </a:themeElements>
  <a:objectDefaults/>
  <a:extraClrSchemeLst/>
  <a:extLst>
    <a:ext uri="{05A4C25C-085E-4340-85A3-A5531E510DB2}">
      <thm15:themeFamily xmlns:thm15="http://schemas.microsoft.com/office/thememl/2012/main" name="Metropolitan" id="{4C5440D6-04D2-4954-96CF-F251137069B2}" vid="{79CFCA13-9412-4290-BB4B-85112F88857B}"/>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FBEBFE-A375-495B-A7EF-7D4E24B90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3</Pages>
  <Words>1513</Words>
  <Characters>8324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M.A.E.E</Company>
  <LinksUpToDate>false</LinksUpToDate>
  <CharactersWithSpaces>9818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Pia Huq</dc:creator>
  <cp:lastModifiedBy>Pia Huq</cp:lastModifiedBy>
  <cp:revision>5</cp:revision>
  <dcterms:created xsi:type="dcterms:W3CDTF">2020-03-26T09:16:00Z</dcterms:created>
  <dcterms:modified xsi:type="dcterms:W3CDTF">2020-03-26T10:36:00Z</dcterms:modified>
</cp:coreProperties>
</file>