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85D5A" w:rsidRDefault="00120159">
      <w:pPr>
        <w:widowControl w:val="0"/>
        <w:pBdr>
          <w:top w:val="nil"/>
          <w:left w:val="nil"/>
          <w:bottom w:val="single" w:sz="4" w:space="1" w:color="000000"/>
          <w:right w:val="nil"/>
          <w:between w:val="nil"/>
        </w:pBdr>
        <w:spacing w:before="120" w:after="120"/>
        <w:jc w:val="center"/>
        <w:rPr>
          <w:rFonts w:ascii="Calibri" w:eastAsia="Calibri" w:hAnsi="Calibri" w:cs="Calibri"/>
          <w:b/>
          <w:sz w:val="28"/>
          <w:szCs w:val="28"/>
        </w:rPr>
      </w:pPr>
      <w:bookmarkStart w:id="0" w:name="_GoBack"/>
      <w:bookmarkEnd w:id="0"/>
      <w:r>
        <w:rPr>
          <w:rFonts w:ascii="Calibri" w:eastAsia="Calibri" w:hAnsi="Calibri" w:cs="Calibri"/>
          <w:b/>
          <w:sz w:val="28"/>
          <w:szCs w:val="28"/>
        </w:rPr>
        <w:t>Principles for community engagement</w:t>
      </w:r>
    </w:p>
    <w:p w14:paraId="00000002" w14:textId="77777777" w:rsidR="00085D5A" w:rsidRDefault="00120159">
      <w:pPr>
        <w:widowControl w:val="0"/>
        <w:pBdr>
          <w:top w:val="nil"/>
          <w:left w:val="nil"/>
          <w:bottom w:val="single" w:sz="4" w:space="1" w:color="000000"/>
          <w:right w:val="nil"/>
          <w:between w:val="nil"/>
        </w:pBdr>
        <w:spacing w:before="120" w:after="120"/>
        <w:jc w:val="center"/>
        <w:rPr>
          <w:rFonts w:ascii="Calibri" w:eastAsia="Calibri" w:hAnsi="Calibri" w:cs="Calibri"/>
          <w:sz w:val="28"/>
          <w:szCs w:val="28"/>
          <w:vertAlign w:val="superscript"/>
        </w:rPr>
      </w:pPr>
      <w:r>
        <w:rPr>
          <w:rFonts w:ascii="Calibri" w:eastAsia="Calibri" w:hAnsi="Calibri" w:cs="Calibri"/>
          <w:b/>
          <w:sz w:val="28"/>
          <w:szCs w:val="28"/>
        </w:rPr>
        <w:t>and guidance on conduct of Ebola Response Actors</w:t>
      </w:r>
      <w:r>
        <w:rPr>
          <w:rFonts w:ascii="Calibri" w:eastAsia="Calibri" w:hAnsi="Calibri" w:cs="Calibri"/>
          <w:sz w:val="28"/>
          <w:szCs w:val="28"/>
          <w:vertAlign w:val="superscript"/>
        </w:rPr>
        <w:footnoteReference w:id="1"/>
      </w:r>
    </w:p>
    <w:p w14:paraId="00000003" w14:textId="77777777" w:rsidR="00085D5A" w:rsidRDefault="00120159">
      <w:pPr>
        <w:widowControl w:val="0"/>
        <w:pBdr>
          <w:top w:val="nil"/>
          <w:left w:val="nil"/>
          <w:bottom w:val="single" w:sz="4" w:space="1" w:color="000000"/>
          <w:right w:val="nil"/>
          <w:between w:val="nil"/>
        </w:pBdr>
        <w:spacing w:before="120" w:after="120"/>
        <w:jc w:val="center"/>
        <w:rPr>
          <w:rFonts w:ascii="Calibri" w:eastAsia="Calibri" w:hAnsi="Calibri" w:cs="Calibri"/>
          <w:b/>
          <w:sz w:val="20"/>
          <w:szCs w:val="20"/>
        </w:rPr>
      </w:pPr>
      <w:r>
        <w:rPr>
          <w:rFonts w:ascii="Calibri" w:eastAsia="Calibri" w:hAnsi="Calibri" w:cs="Calibri"/>
          <w:sz w:val="20"/>
          <w:szCs w:val="20"/>
        </w:rPr>
        <w:t>V9: 20-10-19 [Democratic Republic of Congo, approved by UN Emergency Ebola Response Team (EERT), awaiting DRC Ebola Coordination team validation and dissemination]</w:t>
      </w:r>
    </w:p>
    <w:p w14:paraId="00000004" w14:textId="77777777" w:rsidR="00085D5A" w:rsidRDefault="00120159">
      <w:pPr>
        <w:widowControl w:val="0"/>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rPr>
        <w:t xml:space="preserve">The principles for community engagement aim to strengthen the </w:t>
      </w:r>
      <w:r>
        <w:rPr>
          <w:rFonts w:ascii="Calibri" w:eastAsia="Calibri" w:hAnsi="Calibri" w:cs="Calibri"/>
          <w:sz w:val="22"/>
          <w:szCs w:val="22"/>
          <w:highlight w:val="white"/>
        </w:rPr>
        <w:t>quality of support from all Ebola Response actors doing community engagement</w:t>
      </w:r>
      <w:r>
        <w:rPr>
          <w:rFonts w:ascii="Calibri" w:eastAsia="Calibri" w:hAnsi="Calibri" w:cs="Calibri"/>
          <w:sz w:val="22"/>
          <w:szCs w:val="22"/>
        </w:rPr>
        <w:t xml:space="preserve">, regardless of their official role or title. </w:t>
      </w:r>
      <w:r>
        <w:rPr>
          <w:rFonts w:ascii="Calibri" w:eastAsia="Calibri" w:hAnsi="Calibri" w:cs="Calibri"/>
          <w:sz w:val="22"/>
          <w:szCs w:val="22"/>
          <w:highlight w:val="white"/>
        </w:rPr>
        <w:t xml:space="preserve">All response actors, regardless of their technical fields or employers, </w:t>
      </w:r>
      <w:r>
        <w:rPr>
          <w:rFonts w:ascii="Calibri" w:eastAsia="Calibri" w:hAnsi="Calibri" w:cs="Calibri"/>
          <w:sz w:val="22"/>
          <w:szCs w:val="22"/>
          <w:highlight w:val="white"/>
        </w:rPr>
        <w:t>need to know that their actions and behaviors have an impact on the effectiveness of the entire response. The following principles must be constantly respected by all:</w:t>
      </w:r>
    </w:p>
    <w:p w14:paraId="00000005" w14:textId="77777777" w:rsidR="00085D5A" w:rsidRDefault="00120159">
      <w:pPr>
        <w:widowControl w:val="0"/>
        <w:numPr>
          <w:ilvl w:val="0"/>
          <w:numId w:val="1"/>
        </w:numPr>
        <w:spacing w:before="120" w:after="120"/>
        <w:jc w:val="both"/>
        <w:rPr>
          <w:rFonts w:ascii="Calibri" w:eastAsia="Calibri" w:hAnsi="Calibri" w:cs="Calibri"/>
          <w:sz w:val="22"/>
          <w:szCs w:val="22"/>
        </w:rPr>
      </w:pPr>
      <w:r>
        <w:rPr>
          <w:rFonts w:ascii="Calibri" w:eastAsia="Calibri" w:hAnsi="Calibri" w:cs="Calibri"/>
          <w:sz w:val="22"/>
          <w:szCs w:val="22"/>
        </w:rPr>
        <w:t xml:space="preserve">Ebola Response interventions are informed by the local </w:t>
      </w:r>
      <w:r>
        <w:rPr>
          <w:rFonts w:ascii="Calibri" w:eastAsia="Calibri" w:hAnsi="Calibri" w:cs="Calibri"/>
          <w:b/>
          <w:sz w:val="22"/>
          <w:szCs w:val="22"/>
        </w:rPr>
        <w:t>needs, priorities, values and lan</w:t>
      </w:r>
      <w:r>
        <w:rPr>
          <w:rFonts w:ascii="Calibri" w:eastAsia="Calibri" w:hAnsi="Calibri" w:cs="Calibri"/>
          <w:b/>
          <w:sz w:val="22"/>
          <w:szCs w:val="22"/>
        </w:rPr>
        <w:t xml:space="preserve">guages </w:t>
      </w:r>
      <w:r>
        <w:rPr>
          <w:rFonts w:ascii="Calibri" w:eastAsia="Calibri" w:hAnsi="Calibri" w:cs="Calibri"/>
          <w:sz w:val="22"/>
          <w:szCs w:val="22"/>
        </w:rPr>
        <w:t>of community members.</w:t>
      </w:r>
    </w:p>
    <w:p w14:paraId="00000006" w14:textId="77777777" w:rsidR="00085D5A" w:rsidRDefault="00120159">
      <w:pPr>
        <w:widowControl w:val="0"/>
        <w:numPr>
          <w:ilvl w:val="0"/>
          <w:numId w:val="1"/>
        </w:numPr>
        <w:spacing w:before="120" w:after="120" w:line="276" w:lineRule="auto"/>
        <w:jc w:val="both"/>
        <w:rPr>
          <w:rFonts w:ascii="Calibri" w:eastAsia="Calibri" w:hAnsi="Calibri" w:cs="Calibri"/>
          <w:sz w:val="22"/>
          <w:szCs w:val="22"/>
        </w:rPr>
      </w:pPr>
      <w:r>
        <w:rPr>
          <w:rFonts w:ascii="Calibri" w:eastAsia="Calibri" w:hAnsi="Calibri" w:cs="Calibri"/>
          <w:sz w:val="22"/>
          <w:szCs w:val="22"/>
        </w:rPr>
        <w:t>Response actors must communicate in a respectful, transparent, and open manner in order to create a climate of trust. Communities are significant stakeholders in response actions. We can invest in dialogue and listening, not ju</w:t>
      </w:r>
      <w:r>
        <w:rPr>
          <w:rFonts w:ascii="Calibri" w:eastAsia="Calibri" w:hAnsi="Calibri" w:cs="Calibri"/>
          <w:sz w:val="22"/>
          <w:szCs w:val="22"/>
        </w:rPr>
        <w:t>st one-way information flow. Clinical language that may stigmatize community members and people affected by Ebola Virus Disease should be avoided in public settings: “Suspect case,” “non-compliant,” etc.</w:t>
      </w:r>
    </w:p>
    <w:p w14:paraId="00000007" w14:textId="77777777" w:rsidR="00085D5A" w:rsidRDefault="00120159">
      <w:pPr>
        <w:widowControl w:val="0"/>
        <w:numPr>
          <w:ilvl w:val="0"/>
          <w:numId w:val="1"/>
        </w:numPr>
        <w:spacing w:before="120" w:after="120" w:line="276" w:lineRule="auto"/>
        <w:jc w:val="both"/>
        <w:rPr>
          <w:rFonts w:ascii="Calibri" w:eastAsia="Calibri" w:hAnsi="Calibri" w:cs="Calibri"/>
          <w:sz w:val="22"/>
          <w:szCs w:val="22"/>
        </w:rPr>
      </w:pPr>
      <w:r>
        <w:rPr>
          <w:rFonts w:ascii="Calibri" w:eastAsia="Calibri" w:hAnsi="Calibri" w:cs="Calibri"/>
          <w:sz w:val="22"/>
          <w:szCs w:val="22"/>
        </w:rPr>
        <w:t>Response actors should facilitate the active partici</w:t>
      </w:r>
      <w:r>
        <w:rPr>
          <w:rFonts w:ascii="Calibri" w:eastAsia="Calibri" w:hAnsi="Calibri" w:cs="Calibri"/>
          <w:sz w:val="22"/>
          <w:szCs w:val="22"/>
        </w:rPr>
        <w:t xml:space="preserve">pation of community members. It is crucial that </w:t>
      </w:r>
      <w:r>
        <w:rPr>
          <w:rFonts w:ascii="Calibri" w:eastAsia="Calibri" w:hAnsi="Calibri" w:cs="Calibri"/>
          <w:b/>
          <w:sz w:val="22"/>
          <w:szCs w:val="22"/>
        </w:rPr>
        <w:t xml:space="preserve">communities play a leading role </w:t>
      </w:r>
      <w:r>
        <w:rPr>
          <w:rFonts w:ascii="Calibri" w:eastAsia="Calibri" w:hAnsi="Calibri" w:cs="Calibri"/>
          <w:sz w:val="22"/>
          <w:szCs w:val="22"/>
        </w:rPr>
        <w:t>in deliberations, as well as in the design and execution of actions that affect them.</w:t>
      </w:r>
    </w:p>
    <w:p w14:paraId="00000008" w14:textId="77777777" w:rsidR="00085D5A" w:rsidRDefault="00120159">
      <w:pPr>
        <w:widowControl w:val="0"/>
        <w:numPr>
          <w:ilvl w:val="0"/>
          <w:numId w:val="1"/>
        </w:numPr>
        <w:spacing w:before="120" w:after="120" w:line="276" w:lineRule="auto"/>
        <w:jc w:val="both"/>
        <w:rPr>
          <w:rFonts w:ascii="Calibri" w:eastAsia="Calibri" w:hAnsi="Calibri" w:cs="Calibri"/>
          <w:sz w:val="22"/>
          <w:szCs w:val="22"/>
        </w:rPr>
      </w:pPr>
      <w:r>
        <w:rPr>
          <w:rFonts w:ascii="Calibri" w:eastAsia="Calibri" w:hAnsi="Calibri" w:cs="Calibri"/>
          <w:sz w:val="22"/>
          <w:szCs w:val="22"/>
        </w:rPr>
        <w:t>Response actors should not reinforce power inequalities in the community through their tec</w:t>
      </w:r>
      <w:r>
        <w:rPr>
          <w:rFonts w:ascii="Calibri" w:eastAsia="Calibri" w:hAnsi="Calibri" w:cs="Calibri"/>
          <w:sz w:val="22"/>
          <w:szCs w:val="22"/>
        </w:rPr>
        <w:t xml:space="preserve">hnical actions in the field. All members of the community should be </w:t>
      </w:r>
      <w:r>
        <w:rPr>
          <w:rFonts w:ascii="Calibri" w:eastAsia="Calibri" w:hAnsi="Calibri" w:cs="Calibri"/>
          <w:b/>
          <w:sz w:val="22"/>
          <w:szCs w:val="22"/>
        </w:rPr>
        <w:t>treated with</w:t>
      </w:r>
      <w:r>
        <w:rPr>
          <w:rFonts w:ascii="Calibri" w:eastAsia="Calibri" w:hAnsi="Calibri" w:cs="Calibri"/>
          <w:sz w:val="22"/>
          <w:szCs w:val="22"/>
        </w:rPr>
        <w:t xml:space="preserve"> </w:t>
      </w:r>
      <w:r>
        <w:rPr>
          <w:rFonts w:ascii="Calibri" w:eastAsia="Calibri" w:hAnsi="Calibri" w:cs="Calibri"/>
          <w:b/>
          <w:sz w:val="22"/>
          <w:szCs w:val="22"/>
        </w:rPr>
        <w:t xml:space="preserve">respect </w:t>
      </w:r>
      <w:r>
        <w:rPr>
          <w:rFonts w:ascii="Calibri" w:eastAsia="Calibri" w:hAnsi="Calibri" w:cs="Calibri"/>
          <w:sz w:val="22"/>
          <w:szCs w:val="22"/>
        </w:rPr>
        <w:t>, regardless of their social status, their position in the community, without any consideration of gender, identity, creed, and without discrimination of any kind.</w:t>
      </w:r>
    </w:p>
    <w:p w14:paraId="00000009" w14:textId="77777777" w:rsidR="00085D5A" w:rsidRDefault="00120159">
      <w:pPr>
        <w:widowControl w:val="0"/>
        <w:numPr>
          <w:ilvl w:val="0"/>
          <w:numId w:val="1"/>
        </w:numPr>
        <w:pBdr>
          <w:top w:val="nil"/>
          <w:left w:val="nil"/>
          <w:bottom w:val="nil"/>
          <w:right w:val="nil"/>
          <w:between w:val="nil"/>
        </w:pBdr>
        <w:spacing w:before="120" w:after="120"/>
        <w:jc w:val="both"/>
        <w:rPr>
          <w:rFonts w:ascii="Calibri" w:eastAsia="Calibri" w:hAnsi="Calibri" w:cs="Calibri"/>
          <w:sz w:val="22"/>
          <w:szCs w:val="22"/>
        </w:rPr>
      </w:pPr>
      <w:r>
        <w:rPr>
          <w:rFonts w:ascii="Calibri" w:eastAsia="Calibri" w:hAnsi="Calibri" w:cs="Calibri"/>
          <w:sz w:val="22"/>
          <w:szCs w:val="22"/>
        </w:rPr>
        <w:t xml:space="preserve">Response actors should be prepared to </w:t>
      </w:r>
      <w:r>
        <w:rPr>
          <w:rFonts w:ascii="Calibri" w:eastAsia="Calibri" w:hAnsi="Calibri" w:cs="Calibri"/>
          <w:b/>
          <w:sz w:val="22"/>
          <w:szCs w:val="22"/>
        </w:rPr>
        <w:t xml:space="preserve">register community concerns </w:t>
      </w:r>
      <w:r>
        <w:rPr>
          <w:rFonts w:ascii="Calibri" w:eastAsia="Calibri" w:hAnsi="Calibri" w:cs="Calibri"/>
          <w:sz w:val="22"/>
          <w:szCs w:val="22"/>
        </w:rPr>
        <w:t>and questions and continually adapt or improve actions based on feedback on the quality, availability, accessibility and acceptability of services. Community comments should be listened to, taken into account and used to guide and - improve or adjust the a</w:t>
      </w:r>
      <w:r>
        <w:rPr>
          <w:rFonts w:ascii="Calibri" w:eastAsia="Calibri" w:hAnsi="Calibri" w:cs="Calibri"/>
          <w:sz w:val="22"/>
          <w:szCs w:val="22"/>
        </w:rPr>
        <w:t>ctions of response team members.</w:t>
      </w:r>
    </w:p>
    <w:p w14:paraId="0000000A" w14:textId="77777777" w:rsidR="00085D5A" w:rsidRDefault="00120159">
      <w:pPr>
        <w:widowControl w:val="0"/>
        <w:pBdr>
          <w:top w:val="nil"/>
          <w:left w:val="nil"/>
          <w:bottom w:val="nil"/>
          <w:right w:val="nil"/>
          <w:between w:val="nil"/>
        </w:pBdr>
        <w:spacing w:before="120" w:after="120"/>
        <w:jc w:val="both"/>
        <w:rPr>
          <w:rFonts w:ascii="Calibri" w:eastAsia="Calibri" w:hAnsi="Calibri" w:cs="Calibri"/>
          <w:sz w:val="22"/>
          <w:szCs w:val="22"/>
        </w:rPr>
      </w:pPr>
      <w:r>
        <w:rPr>
          <w:rFonts w:ascii="Calibri" w:eastAsia="Calibri" w:hAnsi="Calibri" w:cs="Calibri"/>
          <w:sz w:val="22"/>
          <w:szCs w:val="22"/>
        </w:rPr>
        <w:t>I have read and understood these principles and I undertake to respect them in the context of my work.</w:t>
      </w:r>
    </w:p>
    <w:p w14:paraId="0000000B" w14:textId="77777777" w:rsidR="00085D5A" w:rsidRDefault="00085D5A">
      <w:pPr>
        <w:widowControl w:val="0"/>
        <w:pBdr>
          <w:top w:val="nil"/>
          <w:left w:val="nil"/>
          <w:bottom w:val="nil"/>
          <w:right w:val="nil"/>
          <w:between w:val="nil"/>
        </w:pBdr>
        <w:spacing w:before="120" w:after="120"/>
        <w:jc w:val="both"/>
        <w:rPr>
          <w:rFonts w:ascii="Calibri" w:eastAsia="Calibri" w:hAnsi="Calibri" w:cs="Calibri"/>
          <w:sz w:val="22"/>
          <w:szCs w:val="22"/>
        </w:rPr>
      </w:pPr>
    </w:p>
    <w:p w14:paraId="0000000C" w14:textId="77777777" w:rsidR="00085D5A" w:rsidRDefault="00120159">
      <w:pPr>
        <w:widowControl w:val="0"/>
        <w:pBdr>
          <w:top w:val="nil"/>
          <w:left w:val="nil"/>
          <w:bottom w:val="nil"/>
          <w:right w:val="nil"/>
          <w:between w:val="nil"/>
        </w:pBdr>
        <w:spacing w:before="120" w:after="120"/>
        <w:jc w:val="both"/>
        <w:rPr>
          <w:rFonts w:ascii="Calibri" w:eastAsia="Calibri" w:hAnsi="Calibri" w:cs="Calibri"/>
          <w:sz w:val="22"/>
          <w:szCs w:val="22"/>
        </w:rPr>
      </w:pPr>
      <w:r>
        <w:rPr>
          <w:rFonts w:ascii="Calibri" w:eastAsia="Calibri" w:hAnsi="Calibri" w:cs="Calibri"/>
          <w:sz w:val="22"/>
          <w:szCs w:val="22"/>
        </w:rPr>
        <w:t>Date : _______________________________________________</w:t>
      </w:r>
    </w:p>
    <w:p w14:paraId="0000000D" w14:textId="77777777" w:rsidR="00085D5A" w:rsidRDefault="00085D5A">
      <w:pPr>
        <w:widowControl w:val="0"/>
        <w:pBdr>
          <w:top w:val="nil"/>
          <w:left w:val="nil"/>
          <w:bottom w:val="nil"/>
          <w:right w:val="nil"/>
          <w:between w:val="nil"/>
        </w:pBdr>
        <w:spacing w:before="120" w:after="120"/>
        <w:jc w:val="both"/>
        <w:rPr>
          <w:rFonts w:ascii="Calibri" w:eastAsia="Calibri" w:hAnsi="Calibri" w:cs="Calibri"/>
          <w:sz w:val="22"/>
          <w:szCs w:val="22"/>
        </w:rPr>
      </w:pPr>
    </w:p>
    <w:p w14:paraId="0000000E" w14:textId="77777777" w:rsidR="00085D5A" w:rsidRDefault="00120159">
      <w:pPr>
        <w:widowControl w:val="0"/>
        <w:pBdr>
          <w:top w:val="nil"/>
          <w:left w:val="nil"/>
          <w:bottom w:val="nil"/>
          <w:right w:val="nil"/>
          <w:between w:val="nil"/>
        </w:pBdr>
        <w:spacing w:before="120" w:after="120"/>
        <w:jc w:val="both"/>
        <w:rPr>
          <w:rFonts w:ascii="Calibri" w:eastAsia="Calibri" w:hAnsi="Calibri" w:cs="Calibri"/>
          <w:sz w:val="22"/>
          <w:szCs w:val="22"/>
        </w:rPr>
      </w:pPr>
      <w:r>
        <w:rPr>
          <w:rFonts w:ascii="Calibri" w:eastAsia="Calibri" w:hAnsi="Calibri" w:cs="Calibri"/>
          <w:sz w:val="22"/>
          <w:szCs w:val="22"/>
        </w:rPr>
        <w:t>Name : _______________________________________________</w:t>
      </w:r>
    </w:p>
    <w:p w14:paraId="0000000F" w14:textId="77777777" w:rsidR="00085D5A" w:rsidRDefault="00085D5A">
      <w:pPr>
        <w:widowControl w:val="0"/>
        <w:pBdr>
          <w:top w:val="nil"/>
          <w:left w:val="nil"/>
          <w:bottom w:val="nil"/>
          <w:right w:val="nil"/>
          <w:between w:val="nil"/>
        </w:pBdr>
        <w:spacing w:before="120" w:after="120"/>
        <w:jc w:val="both"/>
        <w:rPr>
          <w:rFonts w:ascii="Calibri" w:eastAsia="Calibri" w:hAnsi="Calibri" w:cs="Calibri"/>
          <w:sz w:val="22"/>
          <w:szCs w:val="22"/>
        </w:rPr>
      </w:pPr>
      <w:bookmarkStart w:id="1" w:name="_gjdgxs" w:colFirst="0" w:colLast="0"/>
      <w:bookmarkEnd w:id="1"/>
    </w:p>
    <w:p w14:paraId="00000010" w14:textId="77777777" w:rsidR="00085D5A" w:rsidRDefault="00120159">
      <w:pPr>
        <w:widowControl w:val="0"/>
        <w:pBdr>
          <w:top w:val="nil"/>
          <w:left w:val="nil"/>
          <w:bottom w:val="nil"/>
          <w:right w:val="nil"/>
          <w:between w:val="nil"/>
        </w:pBdr>
        <w:spacing w:before="120" w:after="120"/>
        <w:jc w:val="both"/>
        <w:rPr>
          <w:rFonts w:ascii="Calibri" w:eastAsia="Calibri" w:hAnsi="Calibri" w:cs="Calibri"/>
          <w:sz w:val="22"/>
          <w:szCs w:val="22"/>
        </w:rPr>
      </w:pPr>
      <w:bookmarkStart w:id="2" w:name="_30j0zll" w:colFirst="0" w:colLast="0"/>
      <w:bookmarkEnd w:id="2"/>
      <w:r>
        <w:rPr>
          <w:rFonts w:ascii="Calibri" w:eastAsia="Calibri" w:hAnsi="Calibri" w:cs="Calibri"/>
          <w:sz w:val="22"/>
          <w:szCs w:val="22"/>
        </w:rPr>
        <w:t xml:space="preserve">Signed </w:t>
      </w:r>
      <w:r>
        <w:rPr>
          <w:rFonts w:ascii="Calibri" w:eastAsia="Calibri" w:hAnsi="Calibri" w:cs="Calibri"/>
          <w:sz w:val="22"/>
          <w:szCs w:val="22"/>
        </w:rPr>
        <w:t>: _______________________________________________</w:t>
      </w:r>
    </w:p>
    <w:p w14:paraId="00000011" w14:textId="77777777" w:rsidR="00085D5A" w:rsidRDefault="00085D5A">
      <w:pPr>
        <w:widowControl w:val="0"/>
        <w:pBdr>
          <w:top w:val="nil"/>
          <w:left w:val="nil"/>
          <w:bottom w:val="nil"/>
          <w:right w:val="nil"/>
          <w:between w:val="nil"/>
        </w:pBdr>
        <w:spacing w:before="120" w:after="120"/>
        <w:jc w:val="both"/>
        <w:rPr>
          <w:rFonts w:ascii="Calibri" w:eastAsia="Calibri" w:hAnsi="Calibri" w:cs="Calibri"/>
          <w:sz w:val="22"/>
          <w:szCs w:val="22"/>
        </w:rPr>
      </w:pPr>
      <w:bookmarkStart w:id="3" w:name="_1fob9te" w:colFirst="0" w:colLast="0"/>
      <w:bookmarkEnd w:id="3"/>
    </w:p>
    <w:p w14:paraId="00000012" w14:textId="77777777" w:rsidR="00085D5A" w:rsidRDefault="00085D5A">
      <w:pPr>
        <w:widowControl w:val="0"/>
        <w:pBdr>
          <w:top w:val="nil"/>
          <w:left w:val="nil"/>
          <w:bottom w:val="nil"/>
          <w:right w:val="nil"/>
          <w:between w:val="nil"/>
        </w:pBdr>
        <w:spacing w:before="120" w:after="120"/>
        <w:jc w:val="both"/>
        <w:rPr>
          <w:rFonts w:ascii="Calibri" w:eastAsia="Calibri" w:hAnsi="Calibri" w:cs="Calibri"/>
          <w:sz w:val="22"/>
          <w:szCs w:val="22"/>
        </w:rPr>
      </w:pPr>
      <w:bookmarkStart w:id="4" w:name="_3znysh7" w:colFirst="0" w:colLast="0"/>
      <w:bookmarkEnd w:id="4"/>
    </w:p>
    <w:sectPr w:rsidR="00085D5A">
      <w:pgSz w:w="11906" w:h="16838"/>
      <w:pgMar w:top="863" w:right="863" w:bottom="863" w:left="86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241EB" w14:textId="77777777" w:rsidR="00120159" w:rsidRDefault="00120159">
      <w:r>
        <w:separator/>
      </w:r>
    </w:p>
  </w:endnote>
  <w:endnote w:type="continuationSeparator" w:id="0">
    <w:p w14:paraId="7E731F49" w14:textId="77777777" w:rsidR="00120159" w:rsidRDefault="0012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4F9BA" w14:textId="77777777" w:rsidR="00120159" w:rsidRDefault="00120159">
      <w:r>
        <w:separator/>
      </w:r>
    </w:p>
  </w:footnote>
  <w:footnote w:type="continuationSeparator" w:id="0">
    <w:p w14:paraId="2A855CCA" w14:textId="77777777" w:rsidR="00120159" w:rsidRDefault="00120159">
      <w:r>
        <w:continuationSeparator/>
      </w:r>
    </w:p>
  </w:footnote>
  <w:footnote w:id="1">
    <w:p w14:paraId="00000013" w14:textId="77777777" w:rsidR="00085D5A" w:rsidRDefault="00120159">
      <w:pPr>
        <w:pBdr>
          <w:top w:val="nil"/>
          <w:left w:val="nil"/>
          <w:bottom w:val="nil"/>
          <w:right w:val="nil"/>
          <w:between w:val="nil"/>
        </w:pBdr>
        <w:rPr>
          <w:color w:val="000000"/>
          <w:sz w:val="20"/>
          <w:szCs w:val="20"/>
        </w:rPr>
      </w:pPr>
      <w:r>
        <w:rPr>
          <w:vertAlign w:val="superscript"/>
        </w:rPr>
        <w:footnoteRef/>
      </w:r>
      <w:r>
        <w:rPr>
          <w:rFonts w:ascii="Calibri" w:eastAsia="Calibri" w:hAnsi="Calibri" w:cs="Calibri"/>
          <w:sz w:val="20"/>
          <w:szCs w:val="20"/>
        </w:rPr>
        <w:t xml:space="preserve"> NOTE: Guidance on how to give a briefing on these principles can be </w:t>
      </w:r>
      <w:hyperlink r:id="rId1">
        <w:r>
          <w:rPr>
            <w:rFonts w:ascii="Calibri" w:eastAsia="Calibri" w:hAnsi="Calibri" w:cs="Calibri"/>
            <w:color w:val="1155CC"/>
            <w:sz w:val="20"/>
            <w:szCs w:val="20"/>
            <w:u w:val="single"/>
          </w:rPr>
          <w:t>found here</w:t>
        </w:r>
      </w:hyperlink>
      <w:r>
        <w:rPr>
          <w:rFonts w:ascii="Calibri" w:eastAsia="Calibri" w:hAnsi="Calibri" w:cs="Calibri"/>
          <w:sz w:val="20"/>
          <w:szCs w:val="20"/>
        </w:rPr>
        <w:t xml:space="preserve">. These </w:t>
      </w:r>
      <w:r>
        <w:rPr>
          <w:rFonts w:ascii="Calibri" w:eastAsia="Calibri" w:hAnsi="Calibri" w:cs="Calibri"/>
          <w:sz w:val="20"/>
          <w:szCs w:val="20"/>
        </w:rPr>
        <w:t>principles were drafted by a multi-organization working group at the level of the “Emergency Ebola Response Committee'' (EERC) (Oct. 5-17, 2019), with discussion and validation at the Coordination level (Commission Communication) on October 24, 2010. All t</w:t>
      </w:r>
      <w:r>
        <w:rPr>
          <w:rFonts w:ascii="Calibri" w:eastAsia="Calibri" w:hAnsi="Calibri" w:cs="Calibri"/>
          <w:sz w:val="20"/>
          <w:szCs w:val="20"/>
        </w:rPr>
        <w:t xml:space="preserve">echnical partners, including government counterparts and security specialists, who participated in the daily meetings of the central Ebola Response Coordination in Goma were invited to contribute. These principles were drafted following a </w:t>
      </w:r>
      <w:hyperlink r:id="rId2">
        <w:r>
          <w:rPr>
            <w:rFonts w:ascii="Calibri" w:eastAsia="Calibri" w:hAnsi="Calibri" w:cs="Calibri"/>
            <w:color w:val="1155CC"/>
            <w:sz w:val="20"/>
            <w:szCs w:val="20"/>
            <w:u w:val="single"/>
          </w:rPr>
          <w:t>security incident</w:t>
        </w:r>
      </w:hyperlink>
      <w:r>
        <w:rPr>
          <w:rFonts w:ascii="Calibri" w:eastAsia="Calibri" w:hAnsi="Calibri" w:cs="Calibri"/>
          <w:sz w:val="20"/>
          <w:szCs w:val="20"/>
        </w:rPr>
        <w:t xml:space="preserve"> that led to the attack on an Ebola Response health center and a </w:t>
      </w:r>
      <w:hyperlink r:id="rId3">
        <w:r>
          <w:rPr>
            <w:rFonts w:ascii="Calibri" w:eastAsia="Calibri" w:hAnsi="Calibri" w:cs="Calibri"/>
            <w:color w:val="1155CC"/>
            <w:sz w:val="20"/>
            <w:szCs w:val="20"/>
            <w:u w:val="single"/>
          </w:rPr>
          <w:t>machete attack</w:t>
        </w:r>
      </w:hyperlink>
      <w:r>
        <w:rPr>
          <w:rFonts w:ascii="Calibri" w:eastAsia="Calibri" w:hAnsi="Calibri" w:cs="Calibri"/>
          <w:sz w:val="20"/>
          <w:szCs w:val="20"/>
        </w:rPr>
        <w:t xml:space="preserve"> on a local police officer (non-lethal, but major injury resulting). As principles, rather than rules, they are commitments to be </w:t>
      </w:r>
      <w:r>
        <w:rPr>
          <w:rFonts w:ascii="Calibri" w:eastAsia="Calibri" w:hAnsi="Calibri" w:cs="Calibri"/>
          <w:b/>
          <w:sz w:val="20"/>
          <w:szCs w:val="20"/>
        </w:rPr>
        <w:t>voluntarily accepted</w:t>
      </w:r>
      <w:r>
        <w:rPr>
          <w:rFonts w:ascii="Calibri" w:eastAsia="Calibri" w:hAnsi="Calibri" w:cs="Calibri"/>
          <w:sz w:val="20"/>
          <w:szCs w:val="20"/>
        </w:rPr>
        <w:t>. There are no penalties attached, and these principles are not applicable in t</w:t>
      </w:r>
      <w:r>
        <w:rPr>
          <w:rFonts w:ascii="Calibri" w:eastAsia="Calibri" w:hAnsi="Calibri" w:cs="Calibri"/>
          <w:sz w:val="20"/>
          <w:szCs w:val="20"/>
        </w:rPr>
        <w:t xml:space="preserve">he legal arena. The principles inspired and adapted from: </w:t>
      </w:r>
      <w:hyperlink r:id="rId4">
        <w:r>
          <w:rPr>
            <w:rFonts w:ascii="Calibri" w:eastAsia="Calibri" w:hAnsi="Calibri" w:cs="Calibri"/>
            <w:color w:val="1155CC"/>
            <w:sz w:val="20"/>
            <w:szCs w:val="20"/>
            <w:u w:val="single"/>
          </w:rPr>
          <w:t xml:space="preserve">Core Humanitarian Standards </w:t>
        </w:r>
      </w:hyperlink>
      <w:r>
        <w:rPr>
          <w:rFonts w:ascii="Calibri" w:eastAsia="Calibri" w:hAnsi="Calibri" w:cs="Calibri"/>
          <w:sz w:val="20"/>
          <w:szCs w:val="20"/>
        </w:rPr>
        <w:t xml:space="preserve">, the </w:t>
      </w:r>
      <w:hyperlink r:id="rId5">
        <w:r>
          <w:rPr>
            <w:rFonts w:ascii="Calibri" w:eastAsia="Calibri" w:hAnsi="Calibri" w:cs="Calibri"/>
            <w:color w:val="1155CC"/>
            <w:sz w:val="20"/>
            <w:szCs w:val="20"/>
            <w:u w:val="single"/>
          </w:rPr>
          <w:t xml:space="preserve">Accountability Commitments to Affected Populations </w:t>
        </w:r>
      </w:hyperlink>
      <w:r>
        <w:rPr>
          <w:rFonts w:ascii="Calibri" w:eastAsia="Calibri" w:hAnsi="Calibri" w:cs="Calibri"/>
          <w:sz w:val="20"/>
          <w:szCs w:val="20"/>
        </w:rPr>
        <w:t xml:space="preserve">and </w:t>
      </w:r>
      <w:r>
        <w:rPr>
          <w:rFonts w:ascii="Calibri" w:eastAsia="Calibri" w:hAnsi="Calibri" w:cs="Calibri"/>
          <w:color w:val="000000"/>
          <w:sz w:val="20"/>
          <w:szCs w:val="20"/>
        </w:rPr>
        <w:t>the initiative</w:t>
      </w:r>
      <w:r>
        <w:rPr>
          <w:rFonts w:ascii="Calibri" w:eastAsia="Calibri" w:hAnsi="Calibri" w:cs="Calibri"/>
          <w:sz w:val="20"/>
          <w:szCs w:val="20"/>
        </w:rPr>
        <w:t xml:space="preserve"> </w:t>
      </w:r>
      <w:r>
        <w:rPr>
          <w:rFonts w:ascii="Calibri" w:eastAsia="Calibri" w:hAnsi="Calibri" w:cs="Calibri"/>
          <w:color w:val="000000"/>
          <w:sz w:val="20"/>
          <w:szCs w:val="20"/>
        </w:rPr>
        <w:t xml:space="preserve"> </w:t>
      </w:r>
      <w:r>
        <w:rPr>
          <w:rFonts w:ascii="Calibri" w:eastAsia="Calibri" w:hAnsi="Calibri" w:cs="Calibri"/>
          <w:sz w:val="20"/>
          <w:szCs w:val="20"/>
        </w:rPr>
        <w:t xml:space="preserve">“ </w:t>
      </w:r>
      <w:hyperlink r:id="rId6">
        <w:r>
          <w:rPr>
            <w:rFonts w:ascii="Calibri" w:eastAsia="Calibri" w:hAnsi="Calibri" w:cs="Calibri"/>
            <w:color w:val="0563C1"/>
            <w:sz w:val="20"/>
            <w:szCs w:val="20"/>
            <w:u w:val="single"/>
          </w:rPr>
          <w:t xml:space="preserve">Community Engagement Standards </w:t>
        </w:r>
      </w:hyperlink>
      <w:r>
        <w:rPr>
          <w:rFonts w:ascii="Calibri" w:eastAsia="Calibri" w:hAnsi="Calibri" w:cs="Calibri"/>
          <w:sz w:val="20"/>
          <w:szCs w:val="20"/>
        </w:rPr>
        <w:t xml:space="preserve">,” </w:t>
      </w:r>
      <w:r>
        <w:rPr>
          <w:rFonts w:ascii="Calibri" w:eastAsia="Calibri" w:hAnsi="Calibri" w:cs="Calibri"/>
          <w:color w:val="000000"/>
          <w:sz w:val="20"/>
          <w:szCs w:val="20"/>
        </w:rPr>
        <w:t>(UNICEF and multiple agencies,</w:t>
      </w:r>
      <w:r>
        <w:rPr>
          <w:rFonts w:ascii="Calibri" w:eastAsia="Calibri" w:hAnsi="Calibri" w:cs="Calibri"/>
          <w:sz w:val="20"/>
          <w:szCs w:val="20"/>
        </w:rPr>
        <w:t xml:space="preserve"> </w:t>
      </w:r>
      <w:r>
        <w:rPr>
          <w:rFonts w:ascii="Calibri" w:eastAsia="Calibri" w:hAnsi="Calibri" w:cs="Calibri"/>
          <w:color w:val="000000"/>
          <w:sz w:val="20"/>
          <w:szCs w:val="20"/>
        </w:rPr>
        <w:t>with the support of Bill and Melinda Gates Foundation/BMGF),</w:t>
      </w:r>
      <w:r>
        <w:rPr>
          <w:rFonts w:ascii="Calibri" w:eastAsia="Calibri" w:hAnsi="Calibri" w:cs="Calibri"/>
          <w:sz w:val="20"/>
          <w:szCs w:val="20"/>
        </w:rPr>
        <w:t xml:space="preserve"> </w:t>
      </w:r>
      <w:hyperlink r:id="rId7">
        <w:r>
          <w:rPr>
            <w:rFonts w:ascii="Calibri" w:eastAsia="Calibri" w:hAnsi="Calibri" w:cs="Calibri"/>
            <w:color w:val="1155CC"/>
            <w:sz w:val="20"/>
            <w:szCs w:val="20"/>
            <w:u w:val="single"/>
          </w:rPr>
          <w:t>see consul</w:t>
        </w:r>
        <w:r>
          <w:rPr>
            <w:rFonts w:ascii="Calibri" w:eastAsia="Calibri" w:hAnsi="Calibri" w:cs="Calibri"/>
            <w:color w:val="1155CC"/>
            <w:sz w:val="20"/>
            <w:szCs w:val="20"/>
            <w:u w:val="single"/>
          </w:rPr>
          <w:t xml:space="preserve">tation list here </w:t>
        </w:r>
      </w:hyperlink>
      <w:r>
        <w:rPr>
          <w:rFonts w:ascii="Calibri" w:eastAsia="Calibri" w:hAnsi="Calibri" w:cs="Calibri"/>
          <w:sz w:val="20"/>
          <w:szCs w:val="20"/>
        </w:rPr>
        <w:t xml:space="preserve">, July, </w:t>
      </w:r>
      <w:r>
        <w:rPr>
          <w:rFonts w:ascii="Calibri" w:eastAsia="Calibri" w:hAnsi="Calibri" w:cs="Calibri"/>
          <w:color w:val="000000"/>
          <w:sz w:val="20"/>
          <w:szCs w:val="20"/>
        </w:rPr>
        <w:t>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824DF"/>
    <w:multiLevelType w:val="multilevel"/>
    <w:tmpl w:val="53EE53E6"/>
    <w:lvl w:ilvl="0">
      <w:start w:val="1"/>
      <w:numFmt w:val="decimal"/>
      <w:lvlText w:val="%1."/>
      <w:lvlJc w:val="left"/>
      <w:pPr>
        <w:ind w:left="770" w:hanging="360"/>
      </w:p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5A"/>
    <w:rsid w:val="00085D5A"/>
    <w:rsid w:val="00120159"/>
    <w:rsid w:val="00182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3AA2D35-67EF-DE4D-A46F-D3016529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drive.google.com/file/d/17mbrk4WOvTPHqRf0rCyWW9vg_YhdHRwF/view?usp=sharing" TargetMode="External"/><Relationship Id="rId7" Type="http://schemas.openxmlformats.org/officeDocument/2006/relationships/hyperlink" Target="https://docs.google.com/spreadsheets/d/1aXh01uPkcUA6HjiIY8iJfEBHWk9N44IkWaQqBSTotOs/edit?usp=sharing" TargetMode="External"/><Relationship Id="rId2" Type="http://schemas.openxmlformats.org/officeDocument/2006/relationships/hyperlink" Target="https://drive.google.com/file/d/1TkEilhJVuN11uVV89axaN06owI6epXEC/view?usp=sharing" TargetMode="External"/><Relationship Id="rId1" Type="http://schemas.openxmlformats.org/officeDocument/2006/relationships/hyperlink" Target="https://docs.google.com/document/d/19fPZNvGZMaWzjDx9evnMCfQQMLnF7ri-F3k_lUEwr2M/edit?usp=sharing" TargetMode="External"/><Relationship Id="rId6" Type="http://schemas.openxmlformats.org/officeDocument/2006/relationships/hyperlink" Target="https://docs.google.com/document/d/1cWxysFtixMCt3ef2pdhioLH0ZCHIq460EbTGwuX-hh4/edit?usp=sharing" TargetMode="External"/><Relationship Id="rId5" Type="http://schemas.openxmlformats.org/officeDocument/2006/relationships/hyperlink" Target="https://interagencystandingcommittee.org/system/files/legacy_files/AAP%20Committments%20Engagements%20French.pdf" TargetMode="External"/><Relationship Id="rId4" Type="http://schemas.openxmlformats.org/officeDocument/2006/relationships/hyperlink" Target="https://corehumanitarianstandard.org/files/files/CHS_Fren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Ginger Johnson</cp:lastModifiedBy>
  <cp:revision>2</cp:revision>
  <dcterms:created xsi:type="dcterms:W3CDTF">2022-10-18T08:40:00Z</dcterms:created>
  <dcterms:modified xsi:type="dcterms:W3CDTF">2022-10-18T08:40:00Z</dcterms:modified>
</cp:coreProperties>
</file>