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2f9c67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f9c67"/>
          <w:sz w:val="30"/>
          <w:szCs w:val="30"/>
          <w:rtl w:val="0"/>
        </w:rPr>
        <w:t xml:space="preserve">Youth Engagement Subgroup (YES!) Global Webinar on Youth Engagement and Leadership in COVID-19 response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 xml:space="preserve">When: 29 November 2022 </w:t>
      </w:r>
    </w:p>
    <w:p w:rsidR="00000000" w:rsidDel="00000000" w:rsidP="00000000" w:rsidRDefault="00000000" w:rsidRPr="00000000" w14:paraId="00000003">
      <w:pPr>
        <w:ind w:firstLine="720"/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 xml:space="preserve">2.00- 3.30 pm GVA time   </w:t>
      </w:r>
    </w:p>
    <w:p w:rsidR="00000000" w:rsidDel="00000000" w:rsidP="00000000" w:rsidRDefault="00000000" w:rsidRPr="00000000" w14:paraId="00000004">
      <w:pPr>
        <w:ind w:left="0" w:firstLine="0"/>
        <w:rPr>
          <w:rFonts w:ascii="Open Sans" w:cs="Open Sans" w:eastAsia="Open Sans" w:hAnsi="Open Sans"/>
          <w:color w:val="424242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 xml:space="preserve"> Where: </w:t>
      </w:r>
      <w:r w:rsidDel="00000000" w:rsidR="00000000" w:rsidRPr="00000000">
        <w:rPr>
          <w:rFonts w:ascii="Open Sans" w:cs="Open Sans" w:eastAsia="Open Sans" w:hAnsi="Open Sans"/>
          <w:color w:val="424242"/>
          <w:sz w:val="18"/>
          <w:szCs w:val="18"/>
          <w:rtl w:val="0"/>
        </w:rPr>
        <w:t xml:space="preserve">Zoom Meeting  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color w:val="0563c1"/>
          <w:sz w:val="18"/>
          <w:szCs w:val="18"/>
          <w:u w:val="single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color w:val="0563c1"/>
            <w:sz w:val="18"/>
            <w:szCs w:val="18"/>
            <w:u w:val="single"/>
            <w:rtl w:val="0"/>
          </w:rPr>
          <w:t xml:space="preserve">https://who-e.zoom.us/j/96662609792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color w:val="424242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24242"/>
          <w:sz w:val="18"/>
          <w:szCs w:val="18"/>
          <w:rtl w:val="0"/>
        </w:rPr>
        <w:t xml:space="preserve">Meeting ID: 966 6260 9792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color w:val="424242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24242"/>
          <w:sz w:val="18"/>
          <w:szCs w:val="18"/>
          <w:rtl w:val="0"/>
        </w:rPr>
        <w:t xml:space="preserve">Passcode: 100158</w:t>
      </w:r>
    </w:p>
    <w:p w:rsidR="00000000" w:rsidDel="00000000" w:rsidP="00000000" w:rsidRDefault="00000000" w:rsidRPr="00000000" w14:paraId="00000008">
      <w:pPr>
        <w:ind w:left="0" w:firstLine="0"/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sz w:val="18"/>
          <w:szCs w:val="18"/>
          <w:rtl w:val="0"/>
        </w:rPr>
        <w:t xml:space="preserve">Proposed Agenda: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 xml:space="preserve">2.00 - 2.10 pm: Welcome and introduction of the initiative by the YES! co-chair Humberto Jaime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 xml:space="preserve">2.10 - 2.55 pm: Presentations by authors of good practices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434343"/>
          <w:sz w:val="18"/>
          <w:szCs w:val="18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 xml:space="preserve">2.55 - 3.15 pm: Discussion / Q&amp;A moderated by co-chairs Gareth Jones and Humberto Jaime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434343"/>
          <w:sz w:val="18"/>
          <w:szCs w:val="18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 xml:space="preserve">3.15 - 3.30 pm: CS updates + wrap-up </w:t>
      </w:r>
    </w:p>
    <w:p w:rsidR="00000000" w:rsidDel="00000000" w:rsidP="00000000" w:rsidRDefault="00000000" w:rsidRPr="00000000" w14:paraId="0000000F">
      <w:pPr>
        <w:shd w:fill="ffffff" w:val="clear"/>
        <w:rPr>
          <w:rFonts w:ascii="Open Sans" w:cs="Open Sans" w:eastAsia="Open Sans" w:hAnsi="Open Sans"/>
          <w:b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 </w:t>
      </w:r>
    </w:p>
    <w:tbl>
      <w:tblPr>
        <w:tblStyle w:val="Table1"/>
        <w:tblW w:w="10665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3075"/>
        <w:gridCol w:w="1350"/>
        <w:gridCol w:w="1485"/>
        <w:tblGridChange w:id="0">
          <w:tblGrid>
            <w:gridCol w:w="4755"/>
            <w:gridCol w:w="3075"/>
            <w:gridCol w:w="1350"/>
            <w:gridCol w:w="148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Presenter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Time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(Back up time for connections)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Introduction of the YES! initiative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Humberto Jaime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+ YES! team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2.00 - 10 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Case Study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 1: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Youth-Led Risk Communication and Isolated Community Mobilization Against COVID-19,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Micronesian Red Cross Society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(MRCS) and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UNICEF Pacific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, Federated States of Micronesia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Pius Attandoh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 (Social and Behavioural Change (SBC) Specialist, UNICEF Pacific)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2.10 - 15 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Case Study 2: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Youth-Led Risk Communication and Outreach for Rural Communities,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Young Urban Women’s Movement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 (YUWM), Ghana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Dorcas Zoogah (Chairperson, ActionAid/ YUWM Ghana)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 2.15 - 20 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Case Study 3: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‘A Day in the Life’ Video Series of Young People During the Pandemic –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 Multicultural Youth Advocacy Network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(MYAN), Australia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Rana Ebrahimi (National Director, MYAN)</w:t>
            </w:r>
          </w:p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 2.20 - 25 pm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Case Study 4: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Adolescent Girls’ Empowerment Leading to Outreach for COVID-19 Awareness –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UNICEF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Guinea-Bissau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color w:val="424242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24242"/>
                <w:sz w:val="18"/>
                <w:szCs w:val="18"/>
                <w:rtl w:val="0"/>
              </w:rPr>
              <w:t xml:space="preserve">Silvina Fernando Manuel Sico (Child Protection Officer, UNICEF Guinea Bissau)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2.25 - 30 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Q&amp;A First block</w:t>
            </w:r>
          </w:p>
          <w:p w:rsidR="00000000" w:rsidDel="00000000" w:rsidP="00000000" w:rsidRDefault="00000000" w:rsidRPr="00000000" w14:paraId="0000002E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Introduction to second block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Humberto Jaime (YES! Co-chair)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10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2.30 - 40 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Case Study 5: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Youth Leadership Skills and Economic Empowerment Amidst the COVID Crisis,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Dar Abu Abdallah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 (DAA) and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UNICEF Jordan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24242"/>
                <w:sz w:val="18"/>
                <w:szCs w:val="18"/>
                <w:rtl w:val="0"/>
              </w:rPr>
              <w:t xml:space="preserve">Zaid Qardan (Director of Programmes, Dar Abu Abdallah (DAA) Jordan)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 2.40 - 45 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Case Study 6: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 Young Women Raise Awareness and Generate Income in Combating COVID-19,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BINDU Women Development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, Bangladesh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Jannatul Mouwa (BINDU Women Movement Bangladesh)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2.45 - 50 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Case Study 7: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Youth-Led Research on the Impact of the COVID-19 Pandemic on Marginalized Youth,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Asia South-Pacific Association for Basic and Adult Education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(ASPBAE)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Priyanka Pal (Youth Coordinator,</w:t>
            </w:r>
          </w:p>
          <w:p w:rsidR="00000000" w:rsidDel="00000000" w:rsidP="00000000" w:rsidRDefault="00000000" w:rsidRPr="00000000" w14:paraId="0000003C">
            <w:pPr>
              <w:tabs>
                <w:tab w:val="right" w:leader="none" w:pos="9016"/>
              </w:tabs>
              <w:spacing w:after="100" w:before="100" w:line="276" w:lineRule="auto"/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 Asia South-Pacific Association for Basic and Adult Education (ASPBAE)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2.50 - 55 pm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Q&amp;A Second block &amp; Discussion Conclusions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 Gareth Jones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(YES! Co-chair)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10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2.55 - 3.05 pm</w:t>
            </w:r>
          </w:p>
        </w:tc>
      </w:tr>
      <w:tr>
        <w:trPr>
          <w:cantSplit w:val="0"/>
          <w:trHeight w:val="266.8959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Acknowledgments and closing remarks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5 minutes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  <w:rtl w:val="0"/>
              </w:rPr>
              <w:t xml:space="preserve">3.05 - 3.10 pm</w:t>
            </w:r>
          </w:p>
        </w:tc>
      </w:tr>
      <w:tr>
        <w:trPr>
          <w:cantSplit w:val="0"/>
          <w:trHeight w:val="266.8959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right" w:leader="none" w:pos="9016"/>
        </w:tabs>
        <w:spacing w:after="100" w:before="100" w:line="276" w:lineRule="auto"/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right" w:leader="none" w:pos="9016"/>
        </w:tabs>
        <w:spacing w:after="100" w:before="100" w:line="276" w:lineRule="auto"/>
        <w:rPr>
          <w:rFonts w:ascii="Open Sans" w:cs="Open Sans" w:eastAsia="Open Sans" w:hAnsi="Open Sans"/>
          <w:color w:val="434343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4D">
      <w:pPr>
        <w:tabs>
          <w:tab w:val="right" w:leader="none" w:pos="9016"/>
        </w:tabs>
        <w:spacing w:after="100" w:before="100" w:line="276" w:lineRule="auto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ho-e.zoom.us/j/9666260979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